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52" w:lineRule="auto"/>
      </w:pPr>
      <w:r>
        <w:rPr>
          <w:rFonts w:ascii="Arial" w:hAnsi="Arial"/>
        </w:rPr>
        <w:t>Act Is Not Object</w:t>
      </w:r>
    </w:p>
    <w:p>
      <w:pPr>
        <w:spacing w:after="120" w:line="252" w:lineRule="auto"/>
      </w:pPr>
    </w:p>
    <w:p>
      <w:pPr>
        <w:pStyle w:val="Heading1"/>
        <w:spacing w:after="120" w:line="252" w:lineRule="auto"/>
      </w:pPr>
      <w:r>
        <w:rPr>
          <w:rFonts w:ascii="Arial" w:hAnsi="Arial"/>
        </w:rPr>
        <w:t>Substances, images, tools, and states in legal and semantic custody</w:t>
      </w:r>
    </w:p>
    <w:p>
      <w:pPr>
        <w:spacing w:after="120" w:line="252" w:lineRule="auto"/>
      </w:pPr>
    </w:p>
    <w:p>
      <w:pPr>
        <w:spacing w:after="120" w:line="252" w:lineRule="auto"/>
      </w:pPr>
      <w:r>
        <w:rPr>
          <w:rFonts w:ascii="Arial" w:hAnsi="Arial"/>
          <w:sz w:val="21"/>
        </w:rPr>
      </w:r>
      <w:r>
        <w:rPr>
          <w:rFonts w:ascii="Arial" w:hAnsi="Arial"/>
          <w:b/>
          <w:sz w:val="21"/>
        </w:rPr>
        <w:t>Version:</w:t>
      </w:r>
      <w:r>
        <w:rPr>
          <w:rFonts w:ascii="Arial" w:hAnsi="Arial"/>
          <w:sz w:val="21"/>
        </w:rPr>
        <w:t xml:space="preserve"> v0.002</w:t>
      </w:r>
    </w:p>
    <w:p>
      <w:pPr>
        <w:spacing w:after="120" w:line="252" w:lineRule="auto"/>
      </w:pPr>
      <w:r>
        <w:rPr>
          <w:rFonts w:ascii="Arial" w:hAnsi="Arial"/>
          <w:sz w:val="21"/>
        </w:rPr>
      </w:r>
      <w:r>
        <w:rPr>
          <w:rFonts w:ascii="Arial" w:hAnsi="Arial"/>
          <w:b/>
          <w:sz w:val="21"/>
        </w:rPr>
        <w:t>Author:</w:t>
      </w:r>
      <w:r>
        <w:rPr>
          <w:rFonts w:ascii="Arial" w:hAnsi="Arial"/>
          <w:sz w:val="21"/>
        </w:rPr>
        <w:t xml:space="preserve"> lumixdeee</w:t>
      </w:r>
    </w:p>
    <w:p>
      <w:pPr>
        <w:spacing w:after="120" w:line="252" w:lineRule="auto"/>
      </w:pPr>
      <w:r>
        <w:rPr>
          <w:rFonts w:ascii="Arial" w:hAnsi="Arial"/>
          <w:sz w:val="21"/>
        </w:rPr>
      </w:r>
      <w:r>
        <w:rPr>
          <w:rFonts w:ascii="Arial" w:hAnsi="Arial"/>
          <w:b/>
          <w:sz w:val="21"/>
        </w:rPr>
        <w:t>Status:</w:t>
      </w:r>
      <w:r>
        <w:rPr>
          <w:rFonts w:ascii="Arial" w:hAnsi="Arial"/>
          <w:sz w:val="21"/>
        </w:rPr>
        <w:t xml:space="preserve"> Working legal-semantic method note. United Kingdom and England and Wales examples. Not legal advice.</w:t>
      </w:r>
    </w:p>
    <w:p>
      <w:pPr>
        <w:spacing w:after="120" w:line="252" w:lineRule="auto"/>
      </w:pPr>
    </w:p>
    <w:p>
      <w:pPr>
        <w:pStyle w:val="Heading2"/>
        <w:spacing w:after="120" w:line="252" w:lineRule="auto"/>
      </w:pPr>
      <w:r>
        <w:rPr>
          <w:rFonts w:ascii="Arial" w:hAnsi="Arial"/>
        </w:rPr>
        <w:t>Abstract</w:t>
      </w:r>
    </w:p>
    <w:p>
      <w:pPr>
        <w:spacing w:after="120" w:line="252" w:lineRule="auto"/>
      </w:pPr>
    </w:p>
    <w:p>
      <w:pPr>
        <w:spacing w:after="120" w:line="252" w:lineRule="auto"/>
      </w:pPr>
      <w:r>
        <w:rPr>
          <w:rFonts w:ascii="Arial" w:hAnsi="Arial"/>
          <w:sz w:val="21"/>
        </w:rPr>
        <w:t>Many public arguments treat a thing as if it were already an offence: heroin is illegal, cannabis is illegal, cannibalism is illegal, AI is harmful, an image is abuse, a state is danger. This paper argues that these forms are often legally and semantically wrong. Law usually reaches acts, relations, possession, supply, creation, distribution, display, storage, intent, consent, context, duty, and outcome. The object itself is not the whole offence. A substance, image, tool, body part, model, word, or altered state may become part of an offence only when it is bound into a prohibited act, regulated relation, or legal duty.</w:t>
      </w:r>
    </w:p>
    <w:p>
      <w:pPr>
        <w:spacing w:after="120" w:line="252" w:lineRule="auto"/>
      </w:pPr>
    </w:p>
    <w:p>
      <w:pPr>
        <w:spacing w:after="120" w:line="252" w:lineRule="auto"/>
      </w:pPr>
      <w:r>
        <w:rPr>
          <w:rFonts w:ascii="Arial" w:hAnsi="Arial"/>
          <w:sz w:val="21"/>
        </w:rPr>
        <w:t>This distinction matters because object-language invites status panic. It lets public speech treat a plant, molecule, file, body, tool, word, or mental state as already carrying wrongdoing. Act-language is less magical and more accountable. It asks what was done, by whom, to whom, with what object, under what authority, with what consent, under what legal rule, and with what evidence.</w:t>
      </w:r>
    </w:p>
    <w:p>
      <w:pPr>
        <w:spacing w:after="120" w:line="252" w:lineRule="auto"/>
      </w:pPr>
    </w:p>
    <w:p>
      <w:pPr>
        <w:spacing w:after="120" w:line="252" w:lineRule="auto"/>
      </w:pPr>
      <w:r>
        <w:rPr>
          <w:rFonts w:ascii="Arial" w:hAnsi="Arial"/>
          <w:sz w:val="21"/>
        </w:rPr>
        <w:t>The core rule is simple:</w:t>
      </w:r>
    </w:p>
    <w:p>
      <w:pPr>
        <w:spacing w:after="120" w:line="252" w:lineRule="auto"/>
      </w:pPr>
    </w:p>
    <w:p>
      <w:pPr>
        <w:spacing w:after="120" w:line="252" w:lineRule="auto"/>
      </w:pPr>
      <w:r>
        <w:rPr>
          <w:rFonts w:ascii="Arial" w:hAnsi="Arial"/>
          <w:b/>
          <w:sz w:val="21"/>
        </w:rPr>
        <w:t>The object is not the offence. The offence is the object in a prohibited relation.</w:t>
      </w:r>
    </w:p>
    <w:p>
      <w:pPr>
        <w:spacing w:after="120" w:line="252" w:lineRule="auto"/>
      </w:pPr>
    </w:p>
    <w:p>
      <w:pPr>
        <w:pStyle w:val="Heading1"/>
        <w:spacing w:after="120" w:line="252" w:lineRule="auto"/>
      </w:pPr>
      <w:r>
        <w:rPr>
          <w:rFonts w:ascii="Arial" w:hAnsi="Arial"/>
        </w:rPr>
        <w:t>0. Legal boundary and jurisdiction note</w:t>
      </w:r>
    </w:p>
    <w:p>
      <w:pPr>
        <w:spacing w:after="120" w:line="252" w:lineRule="auto"/>
      </w:pPr>
    </w:p>
    <w:p>
      <w:pPr>
        <w:spacing w:after="120" w:line="252" w:lineRule="auto"/>
      </w:pPr>
      <w:r>
        <w:rPr>
          <w:rFonts w:ascii="Arial" w:hAnsi="Arial"/>
          <w:sz w:val="21"/>
        </w:rPr>
        <w:t>This paper is a semantic and legal-method note. It is not legal advice. Its legal examples are mainly from United Kingdom law, with several points focused on England and Wales. Law changes, commencement dates matter, and criminal liability depends on facts, jurisdiction, evidence, defences, exemptions, authorisations, and case law.</w:t>
      </w:r>
    </w:p>
    <w:p>
      <w:pPr>
        <w:spacing w:after="120" w:line="252" w:lineRule="auto"/>
      </w:pPr>
    </w:p>
    <w:p>
      <w:pPr>
        <w:spacing w:after="120" w:line="252" w:lineRule="auto"/>
      </w:pPr>
      <w:r>
        <w:rPr>
          <w:rFonts w:ascii="Arial" w:hAnsi="Arial"/>
          <w:sz w:val="21"/>
        </w:rPr>
        <w:t>The paper therefore uses a source-bound rule:</w:t>
      </w:r>
    </w:p>
    <w:p>
      <w:pPr>
        <w:spacing w:after="120" w:line="252" w:lineRule="auto"/>
      </w:pPr>
    </w:p>
    <w:p>
      <w:pPr>
        <w:pStyle w:val="CodeBlock"/>
        <w:spacing w:after="120" w:line="252" w:lineRule="auto"/>
      </w:pPr>
      <w:r>
        <w:rPr>
          <w:rFonts w:ascii="Arial" w:hAnsi="Arial"/>
        </w:rPr>
        <w:t>Do not say "this thing is illegal" when the available legal source says "this act with this thing in this relation is an offence."</w:t>
      </w:r>
    </w:p>
    <w:p>
      <w:pPr>
        <w:spacing w:after="120" w:line="252" w:lineRule="auto"/>
      </w:pPr>
    </w:p>
    <w:p>
      <w:pPr>
        <w:spacing w:after="120" w:line="252" w:lineRule="auto"/>
      </w:pPr>
      <w:r>
        <w:rPr>
          <w:rFonts w:ascii="Arial" w:hAnsi="Arial"/>
          <w:sz w:val="21"/>
        </w:rPr>
        <w:t>The aim is not to weaken law. The aim is to make legal speech more accurate.</w:t>
      </w:r>
    </w:p>
    <w:p>
      <w:pPr>
        <w:spacing w:after="120" w:line="252" w:lineRule="auto"/>
      </w:pPr>
    </w:p>
    <w:p>
      <w:pPr>
        <w:pStyle w:val="Heading1"/>
        <w:spacing w:after="120" w:line="252" w:lineRule="auto"/>
      </w:pPr>
      <w:r>
        <w:rPr>
          <w:rFonts w:ascii="Arial" w:hAnsi="Arial"/>
        </w:rPr>
        <w:t>1. The false sentence problem</w:t>
      </w:r>
    </w:p>
    <w:p>
      <w:pPr>
        <w:spacing w:after="120" w:line="252" w:lineRule="auto"/>
      </w:pPr>
    </w:p>
    <w:p>
      <w:pPr>
        <w:spacing w:after="120" w:line="252" w:lineRule="auto"/>
      </w:pPr>
      <w:r>
        <w:rPr>
          <w:rFonts w:ascii="Arial" w:hAnsi="Arial"/>
          <w:sz w:val="21"/>
        </w:rPr>
        <w:t>A false sentence can be useful if it exposes the shape of a public mistake.</w:t>
      </w:r>
    </w:p>
    <w:p>
      <w:pPr>
        <w:spacing w:after="120" w:line="252" w:lineRule="auto"/>
      </w:pPr>
    </w:p>
    <w:p>
      <w:pPr>
        <w:pStyle w:val="CodeBlock"/>
        <w:spacing w:after="120" w:line="252" w:lineRule="auto"/>
      </w:pPr>
      <w:r>
        <w:rPr>
          <w:rFonts w:ascii="Arial" w:hAnsi="Arial"/>
        </w:rPr>
        <w:t>Heroin is illegal.</w:t>
      </w:r>
    </w:p>
    <w:p>
      <w:pPr>
        <w:pStyle w:val="CodeBlock"/>
        <w:spacing w:after="120" w:line="252" w:lineRule="auto"/>
      </w:pPr>
      <w:r>
        <w:rPr>
          <w:rFonts w:ascii="Arial" w:hAnsi="Arial"/>
        </w:rPr>
        <w:t>Cannabis is illegal.</w:t>
      </w:r>
    </w:p>
    <w:p>
      <w:pPr>
        <w:pStyle w:val="CodeBlock"/>
        <w:spacing w:after="120" w:line="252" w:lineRule="auto"/>
      </w:pPr>
      <w:r>
        <w:rPr>
          <w:rFonts w:ascii="Arial" w:hAnsi="Arial"/>
        </w:rPr>
        <w:t>Cannibalism is illegal.</w:t>
      </w:r>
    </w:p>
    <w:p>
      <w:pPr>
        <w:pStyle w:val="CodeBlock"/>
        <w:spacing w:after="120" w:line="252" w:lineRule="auto"/>
      </w:pPr>
      <w:r>
        <w:rPr>
          <w:rFonts w:ascii="Arial" w:hAnsi="Arial"/>
        </w:rPr>
        <w:t>AI is harmful.</w:t>
      </w:r>
    </w:p>
    <w:p>
      <w:pPr>
        <w:pStyle w:val="CodeBlock"/>
        <w:spacing w:after="120" w:line="252" w:lineRule="auto"/>
      </w:pPr>
      <w:r>
        <w:rPr>
          <w:rFonts w:ascii="Arial" w:hAnsi="Arial"/>
        </w:rPr>
        <w:t>That image is illegal.</w:t>
      </w:r>
    </w:p>
    <w:p>
      <w:pPr>
        <w:pStyle w:val="CodeBlock"/>
        <w:spacing w:after="120" w:line="252" w:lineRule="auto"/>
      </w:pPr>
      <w:r>
        <w:rPr>
          <w:rFonts w:ascii="Arial" w:hAnsi="Arial"/>
        </w:rPr>
        <w:t>Psychosis is danger.</w:t>
      </w:r>
    </w:p>
    <w:p>
      <w:pPr>
        <w:spacing w:after="120" w:line="252" w:lineRule="auto"/>
      </w:pPr>
    </w:p>
    <w:p>
      <w:pPr>
        <w:spacing w:after="120" w:line="252" w:lineRule="auto"/>
      </w:pPr>
      <w:r>
        <w:rPr>
          <w:rFonts w:ascii="Arial" w:hAnsi="Arial"/>
          <w:sz w:val="21"/>
        </w:rPr>
        <w:t>Each sentence may point toward a real legal or policy area. Each can also be a shortcut that loses the thing law must actually decide. Law normally does not punish an object floating in the air. It punishes a person, organisation, platform, or system for an act, omission, relation, possession, supply chain, use, intent, request, consent failure, or duty failure.</w:t>
      </w:r>
    </w:p>
    <w:p>
      <w:pPr>
        <w:spacing w:after="120" w:line="252" w:lineRule="auto"/>
      </w:pPr>
    </w:p>
    <w:p>
      <w:pPr>
        <w:spacing w:after="120" w:line="252" w:lineRule="auto"/>
      </w:pPr>
      <w:r>
        <w:rPr>
          <w:rFonts w:ascii="Arial" w:hAnsi="Arial"/>
          <w:sz w:val="21"/>
        </w:rPr>
        <w:t>The point is not that objects are irrelevant. Objects matter. A controlled drug, a human remain, an image of abuse, a weapon, a file, a model, or a tool can be central to an offence. But the object is not the whole act. When public language collapses act into object, legal speech becomes less accurate and moral speech becomes easier to weaponise.</w:t>
      </w:r>
    </w:p>
    <w:p>
      <w:pPr>
        <w:spacing w:after="120" w:line="252" w:lineRule="auto"/>
      </w:pPr>
    </w:p>
    <w:p>
      <w:pPr>
        <w:spacing w:after="120" w:line="252" w:lineRule="auto"/>
      </w:pPr>
      <w:r>
        <w:rPr>
          <w:rFonts w:ascii="Arial" w:hAnsi="Arial"/>
          <w:sz w:val="21"/>
        </w:rPr>
        <w:t>Better form:</w:t>
      </w:r>
    </w:p>
    <w:p>
      <w:pPr>
        <w:spacing w:after="120" w:line="252" w:lineRule="auto"/>
      </w:pPr>
    </w:p>
    <w:p>
      <w:pPr>
        <w:pStyle w:val="CodeBlock"/>
        <w:spacing w:after="120" w:line="252" w:lineRule="auto"/>
      </w:pPr>
      <w:r>
        <w:rPr>
          <w:rFonts w:ascii="Arial" w:hAnsi="Arial"/>
        </w:rPr>
        <w:t>This actor did this act with this object in this relation under this rule.</w:t>
      </w:r>
    </w:p>
    <w:p>
      <w:pPr>
        <w:spacing w:after="120" w:line="252" w:lineRule="auto"/>
      </w:pPr>
    </w:p>
    <w:p>
      <w:pPr>
        <w:spacing w:after="120" w:line="252" w:lineRule="auto"/>
      </w:pPr>
      <w:r>
        <w:rPr>
          <w:rFonts w:ascii="Arial" w:hAnsi="Arial"/>
          <w:sz w:val="21"/>
        </w:rPr>
        <w:t>Until that sentence can be formed, public speech should not pretend the object has already been tried.</w:t>
      </w:r>
    </w:p>
    <w:p>
      <w:pPr>
        <w:spacing w:after="120" w:line="252" w:lineRule="auto"/>
      </w:pPr>
    </w:p>
    <w:p>
      <w:pPr>
        <w:pStyle w:val="Heading1"/>
        <w:spacing w:after="120" w:line="252" w:lineRule="auto"/>
      </w:pPr>
      <w:r>
        <w:rPr>
          <w:rFonts w:ascii="Arial" w:hAnsi="Arial"/>
        </w:rPr>
        <w:t>2. Why the distinction matters</w:t>
      </w:r>
    </w:p>
    <w:p>
      <w:pPr>
        <w:spacing w:after="120" w:line="252" w:lineRule="auto"/>
      </w:pPr>
    </w:p>
    <w:p>
      <w:pPr>
        <w:spacing w:after="120" w:line="252" w:lineRule="auto"/>
      </w:pPr>
      <w:r>
        <w:rPr>
          <w:rFonts w:ascii="Arial" w:hAnsi="Arial"/>
          <w:sz w:val="21"/>
        </w:rPr>
        <w:t>Object-language is fast. It is also dangerous.</w:t>
      </w:r>
    </w:p>
    <w:p>
      <w:pPr>
        <w:spacing w:after="120" w:line="252" w:lineRule="auto"/>
      </w:pPr>
    </w:p>
    <w:p>
      <w:pPr>
        <w:spacing w:after="120" w:line="252" w:lineRule="auto"/>
      </w:pPr>
      <w:r>
        <w:rPr>
          <w:rFonts w:ascii="Arial" w:hAnsi="Arial"/>
          <w:sz w:val="21"/>
        </w:rPr>
        <w:t>It lets a public speaker say "drug" and smuggle in criminal person. It lets a platform say "harmful content" and forget the difference between depiction, instruction, threat, solicitation, abuse, satire, warning, archive, journalism, evidence, and legal duty. It lets a state say "AI risk" and skip the hard question of which actor, which output, which deployment, which victim, which duty, and which preventable failure.</w:t>
      </w:r>
    </w:p>
    <w:p>
      <w:pPr>
        <w:spacing w:after="120" w:line="252" w:lineRule="auto"/>
      </w:pPr>
    </w:p>
    <w:p>
      <w:pPr>
        <w:spacing w:after="120" w:line="252" w:lineRule="auto"/>
      </w:pPr>
      <w:r>
        <w:rPr>
          <w:rFonts w:ascii="Arial" w:hAnsi="Arial"/>
          <w:sz w:val="21"/>
        </w:rPr>
        <w:t>Act-language does not make anything safe by magic. It does not excuse possession, supply, abuse, fraud, coercion, non-consensual image creation, exploitation, concealment of a body, or reckless deployment of tools. It simply keeps the legal weight attached to the thing law can test.</w:t>
      </w:r>
    </w:p>
    <w:p>
      <w:pPr>
        <w:spacing w:after="120" w:line="252" w:lineRule="auto"/>
      </w:pPr>
    </w:p>
    <w:p>
      <w:pPr>
        <w:spacing w:after="120" w:line="252" w:lineRule="auto"/>
      </w:pPr>
      <w:r>
        <w:rPr>
          <w:rFonts w:ascii="Arial" w:hAnsi="Arial"/>
          <w:sz w:val="21"/>
        </w:rPr>
        <w:t>A useful legal sentence should keep at least these pieces apart:</w:t>
      </w:r>
    </w:p>
    <w:p>
      <w:pPr>
        <w:spacing w:after="120" w:line="252" w:lineRule="auto"/>
      </w:pPr>
    </w:p>
    <w:p>
      <w:pPr>
        <w:pStyle w:val="CodeBlock"/>
        <w:spacing w:after="120" w:line="252" w:lineRule="auto"/>
      </w:pPr>
      <w:r>
        <w:rPr>
          <w:rFonts w:ascii="Arial" w:hAnsi="Arial"/>
        </w:rPr>
        <w:t>object</w:t>
      </w:r>
    </w:p>
    <w:p>
      <w:pPr>
        <w:pStyle w:val="CodeBlock"/>
        <w:spacing w:after="120" w:line="252" w:lineRule="auto"/>
      </w:pPr>
      <w:r>
        <w:rPr>
          <w:rFonts w:ascii="Arial" w:hAnsi="Arial"/>
        </w:rPr>
        <w:t>actor</w:t>
      </w:r>
    </w:p>
    <w:p>
      <w:pPr>
        <w:pStyle w:val="CodeBlock"/>
        <w:spacing w:after="120" w:line="252" w:lineRule="auto"/>
      </w:pPr>
      <w:r>
        <w:rPr>
          <w:rFonts w:ascii="Arial" w:hAnsi="Arial"/>
        </w:rPr>
        <w:t>act</w:t>
      </w:r>
    </w:p>
    <w:p>
      <w:pPr>
        <w:pStyle w:val="CodeBlock"/>
        <w:spacing w:after="120" w:line="252" w:lineRule="auto"/>
      </w:pPr>
      <w:r>
        <w:rPr>
          <w:rFonts w:ascii="Arial" w:hAnsi="Arial"/>
        </w:rPr>
        <w:t>relation or context</w:t>
      </w:r>
    </w:p>
    <w:p>
      <w:pPr>
        <w:pStyle w:val="CodeBlock"/>
        <w:spacing w:after="120" w:line="252" w:lineRule="auto"/>
      </w:pPr>
      <w:r>
        <w:rPr>
          <w:rFonts w:ascii="Arial" w:hAnsi="Arial"/>
        </w:rPr>
        <w:t>authority or authorisation</w:t>
      </w:r>
    </w:p>
    <w:p>
      <w:pPr>
        <w:pStyle w:val="CodeBlock"/>
        <w:spacing w:after="120" w:line="252" w:lineRule="auto"/>
      </w:pPr>
      <w:r>
        <w:rPr>
          <w:rFonts w:ascii="Arial" w:hAnsi="Arial"/>
        </w:rPr>
        <w:t>consent or lack of consent</w:t>
      </w:r>
    </w:p>
    <w:p>
      <w:pPr>
        <w:pStyle w:val="CodeBlock"/>
        <w:spacing w:after="120" w:line="252" w:lineRule="auto"/>
      </w:pPr>
      <w:r>
        <w:rPr>
          <w:rFonts w:ascii="Arial" w:hAnsi="Arial"/>
        </w:rPr>
        <w:t>victim or protected interest</w:t>
      </w:r>
    </w:p>
    <w:p>
      <w:pPr>
        <w:pStyle w:val="CodeBlock"/>
        <w:spacing w:after="120" w:line="252" w:lineRule="auto"/>
      </w:pPr>
      <w:r>
        <w:rPr>
          <w:rFonts w:ascii="Arial" w:hAnsi="Arial"/>
        </w:rPr>
        <w:t>rule</w:t>
      </w:r>
    </w:p>
    <w:p>
      <w:pPr>
        <w:pStyle w:val="CodeBlock"/>
        <w:spacing w:after="120" w:line="252" w:lineRule="auto"/>
      </w:pPr>
      <w:r>
        <w:rPr>
          <w:rFonts w:ascii="Arial" w:hAnsi="Arial"/>
        </w:rPr>
        <w:t>evidence</w:t>
      </w:r>
    </w:p>
    <w:p>
      <w:pPr>
        <w:spacing w:after="120" w:line="252" w:lineRule="auto"/>
      </w:pPr>
    </w:p>
    <w:p>
      <w:pPr>
        <w:spacing w:after="120" w:line="252" w:lineRule="auto"/>
      </w:pPr>
      <w:r>
        <w:rPr>
          <w:rFonts w:ascii="Arial" w:hAnsi="Arial"/>
          <w:sz w:val="21"/>
        </w:rPr>
        <w:t>If those pieces collapse, a thing may be carrying blame that belongs to a relation.</w:t>
      </w:r>
    </w:p>
    <w:p>
      <w:pPr>
        <w:spacing w:after="120" w:line="252" w:lineRule="auto"/>
      </w:pPr>
    </w:p>
    <w:p>
      <w:pPr>
        <w:pStyle w:val="Heading1"/>
        <w:spacing w:after="120" w:line="252" w:lineRule="auto"/>
      </w:pPr>
      <w:r>
        <w:rPr>
          <w:rFonts w:ascii="Arial" w:hAnsi="Arial"/>
        </w:rPr>
        <w:t>3. Controlled drugs: the molecule is not the whole offence</w:t>
      </w:r>
    </w:p>
    <w:p>
      <w:pPr>
        <w:spacing w:after="120" w:line="252" w:lineRule="auto"/>
      </w:pPr>
    </w:p>
    <w:p>
      <w:pPr>
        <w:spacing w:after="120" w:line="252" w:lineRule="auto"/>
      </w:pPr>
      <w:r>
        <w:rPr>
          <w:rFonts w:ascii="Arial" w:hAnsi="Arial"/>
          <w:sz w:val="21"/>
        </w:rPr>
        <w:t>The Misuse of Drugs Act 1971 does not need the slogan "heroin is illegal" in order to work. It creates controlled categories and offences. Section 5 restricts possession of controlled drugs and includes offences around possession and possession with intent to supply. Schedule 2 lists controlled drugs. Government and CPS materials frame possession as unlawful physical possession or control of a specified controlled drug, with legal details around knowledge, authority, and context.</w:t>
      </w:r>
    </w:p>
    <w:p>
      <w:pPr>
        <w:spacing w:after="120" w:line="252" w:lineRule="auto"/>
      </w:pPr>
    </w:p>
    <w:p>
      <w:pPr>
        <w:spacing w:after="120" w:line="252" w:lineRule="auto"/>
      </w:pPr>
      <w:r>
        <w:rPr>
          <w:rFonts w:ascii="Arial" w:hAnsi="Arial"/>
          <w:sz w:val="21"/>
        </w:rPr>
        <w:t>A better sentence is:</w:t>
      </w:r>
    </w:p>
    <w:p>
      <w:pPr>
        <w:spacing w:after="120" w:line="252" w:lineRule="auto"/>
      </w:pPr>
    </w:p>
    <w:p>
      <w:pPr>
        <w:pStyle w:val="CodeBlock"/>
        <w:spacing w:after="120" w:line="252" w:lineRule="auto"/>
      </w:pPr>
      <w:r>
        <w:rPr>
          <w:rFonts w:ascii="Arial" w:hAnsi="Arial"/>
        </w:rPr>
        <w:t>Unauthorised possession, supply, production, importation, exportation, or possession with intent to supply a controlled drug may be an offence.</w:t>
      </w:r>
    </w:p>
    <w:p>
      <w:pPr>
        <w:spacing w:after="120" w:line="252" w:lineRule="auto"/>
      </w:pPr>
    </w:p>
    <w:p>
      <w:pPr>
        <w:spacing w:after="120" w:line="252" w:lineRule="auto"/>
      </w:pPr>
      <w:r>
        <w:rPr>
          <w:rFonts w:ascii="Arial" w:hAnsi="Arial"/>
          <w:sz w:val="21"/>
        </w:rPr>
        <w:t>That sounds slower because it is doing the work.</w:t>
      </w:r>
    </w:p>
    <w:p>
      <w:pPr>
        <w:spacing w:after="120" w:line="252" w:lineRule="auto"/>
      </w:pPr>
    </w:p>
    <w:p>
      <w:pPr>
        <w:spacing w:after="120" w:line="252" w:lineRule="auto"/>
      </w:pPr>
      <w:r>
        <w:rPr>
          <w:rFonts w:ascii="Arial" w:hAnsi="Arial"/>
          <w:sz w:val="21"/>
        </w:rPr>
        <w:t>The difference matters. The same material may sit in different legal relations: unlawful street supply, licensed research, forensic handling, destruction, authorised supply, or medicinal use. Cannabis is treated as a controlled drug in the Misuse of Drugs Act framework, while cannabis-based products may also appear in tightly bounded lawful medical or licensing routes. The object is not the defendant. The relation carries the legal force.</w:t>
      </w:r>
    </w:p>
    <w:p>
      <w:pPr>
        <w:spacing w:after="120" w:line="252" w:lineRule="auto"/>
      </w:pPr>
    </w:p>
    <w:p>
      <w:pPr>
        <w:spacing w:after="120" w:line="252" w:lineRule="auto"/>
      </w:pPr>
      <w:r>
        <w:rPr>
          <w:rFonts w:ascii="Arial" w:hAnsi="Arial"/>
          <w:sz w:val="21"/>
        </w:rPr>
        <w:t>Act-bound frame:</w:t>
      </w:r>
    </w:p>
    <w:p>
      <w:pPr>
        <w:spacing w:after="120" w:line="252" w:lineRule="auto"/>
      </w:pPr>
    </w:p>
    <w:p>
      <w:pPr>
        <w:pStyle w:val="CodeBlock"/>
        <w:spacing w:after="120" w:line="252" w:lineRule="auto"/>
      </w:pPr>
      <w:r>
        <w:rPr>
          <w:rFonts w:ascii="Arial" w:hAnsi="Arial"/>
        </w:rPr>
        <w:t>Cannabis is not the same thing as possession without authority.</w:t>
      </w:r>
    </w:p>
    <w:p>
      <w:pPr>
        <w:pStyle w:val="CodeBlock"/>
        <w:spacing w:after="120" w:line="252" w:lineRule="auto"/>
      </w:pPr>
      <w:r>
        <w:rPr>
          <w:rFonts w:ascii="Arial" w:hAnsi="Arial"/>
        </w:rPr>
        <w:t>Heroin is not the same thing as supply.</w:t>
      </w:r>
    </w:p>
    <w:p>
      <w:pPr>
        <w:pStyle w:val="CodeBlock"/>
        <w:spacing w:after="120" w:line="252" w:lineRule="auto"/>
      </w:pPr>
      <w:r>
        <w:rPr>
          <w:rFonts w:ascii="Arial" w:hAnsi="Arial"/>
        </w:rPr>
        <w:t>A drug is not a defendant.</w:t>
      </w:r>
    </w:p>
    <w:p>
      <w:pPr>
        <w:spacing w:after="120" w:line="252" w:lineRule="auto"/>
      </w:pPr>
    </w:p>
    <w:p>
      <w:pPr>
        <w:pStyle w:val="Heading1"/>
        <w:spacing w:after="120" w:line="252" w:lineRule="auto"/>
      </w:pPr>
      <w:r>
        <w:rPr>
          <w:rFonts w:ascii="Arial" w:hAnsi="Arial"/>
        </w:rPr>
        <w:t>4. Images: file, act, victim, relation</w:t>
      </w:r>
    </w:p>
    <w:p>
      <w:pPr>
        <w:spacing w:after="120" w:line="252" w:lineRule="auto"/>
      </w:pPr>
    </w:p>
    <w:p>
      <w:pPr>
        <w:spacing w:after="120" w:line="252" w:lineRule="auto"/>
      </w:pPr>
      <w:r>
        <w:rPr>
          <w:rFonts w:ascii="Arial" w:hAnsi="Arial"/>
          <w:sz w:val="21"/>
        </w:rPr>
        <w:t>Images expose the same problem.</w:t>
      </w:r>
    </w:p>
    <w:p>
      <w:pPr>
        <w:spacing w:after="120" w:line="252" w:lineRule="auto"/>
      </w:pPr>
    </w:p>
    <w:p>
      <w:pPr>
        <w:spacing w:after="120" w:line="252" w:lineRule="auto"/>
      </w:pPr>
      <w:r>
        <w:rPr>
          <w:rFonts w:ascii="Arial" w:hAnsi="Arial"/>
          <w:sz w:val="21"/>
        </w:rPr>
        <w:t>An image may be evidence, abuse, art, archive, satire, medical documentation, journalism, fantasy, threat, instruction, non-consensual exposure, or illegal abuse material. The legal question is not solved by saying "image." It depends on making, requesting, possessing, storing, publishing, distributing, sending, threatening, humiliating, exploiting, or failing to remove content under a legal duty.</w:t>
      </w:r>
    </w:p>
    <w:p>
      <w:pPr>
        <w:spacing w:after="120" w:line="252" w:lineRule="auto"/>
      </w:pPr>
    </w:p>
    <w:p>
      <w:pPr>
        <w:spacing w:after="120" w:line="252" w:lineRule="auto"/>
      </w:pPr>
      <w:r>
        <w:rPr>
          <w:rFonts w:ascii="Arial" w:hAnsi="Arial"/>
          <w:sz w:val="21"/>
        </w:rPr>
        <w:t>The Online Safety Act 2023 is useful here because it binds duties to regulated services and illegal content risks rather than treating "the internet" as one object. Government materials describe duties on services to reduce the risk that they are used for illegal activity and to deal with illegal content. The Act and its implementation materials also sit around specific offence categories and platform duties.</w:t>
      </w:r>
    </w:p>
    <w:p>
      <w:pPr>
        <w:spacing w:after="120" w:line="252" w:lineRule="auto"/>
      </w:pPr>
    </w:p>
    <w:p>
      <w:pPr>
        <w:spacing w:after="120" w:line="252" w:lineRule="auto"/>
      </w:pPr>
      <w:r>
        <w:rPr>
          <w:rFonts w:ascii="Arial" w:hAnsi="Arial"/>
          <w:sz w:val="21"/>
        </w:rPr>
        <w:t>The Data (Use and Access) Act 2025 gives a sharper example. Section 138 concerns creating, or requesting the creation of, a purported intimate image of an adult. The target is not "AI" in the abstract. The legal object is creation or request, the intimate-image relation, consent or reasonable belief of consent, and the relevant sexual offence framework.</w:t>
      </w:r>
    </w:p>
    <w:p>
      <w:pPr>
        <w:spacing w:after="120" w:line="252" w:lineRule="auto"/>
      </w:pPr>
    </w:p>
    <w:p>
      <w:pPr>
        <w:spacing w:after="120" w:line="252" w:lineRule="auto"/>
      </w:pPr>
      <w:r>
        <w:rPr>
          <w:rFonts w:ascii="Arial" w:hAnsi="Arial"/>
          <w:sz w:val="21"/>
        </w:rPr>
        <w:t>Useful frame:</w:t>
      </w:r>
    </w:p>
    <w:p>
      <w:pPr>
        <w:spacing w:after="120" w:line="252" w:lineRule="auto"/>
      </w:pPr>
    </w:p>
    <w:p>
      <w:pPr>
        <w:pStyle w:val="CodeBlock"/>
        <w:spacing w:after="120" w:line="252" w:lineRule="auto"/>
      </w:pPr>
      <w:r>
        <w:rPr>
          <w:rFonts w:ascii="Arial" w:hAnsi="Arial"/>
        </w:rPr>
        <w:t>An image is not one legal thing.</w:t>
      </w:r>
    </w:p>
    <w:p>
      <w:pPr>
        <w:pStyle w:val="CodeBlock"/>
        <w:spacing w:after="120" w:line="252" w:lineRule="auto"/>
      </w:pPr>
      <w:r>
        <w:rPr>
          <w:rFonts w:ascii="Arial" w:hAnsi="Arial"/>
        </w:rPr>
        <w:t>It becomes legally charged through creation, request, possession, distribution, consent, subject, intent, and context.</w:t>
      </w:r>
    </w:p>
    <w:p>
      <w:pPr>
        <w:spacing w:after="120" w:line="252" w:lineRule="auto"/>
      </w:pPr>
    </w:p>
    <w:p>
      <w:pPr>
        <w:spacing w:after="120" w:line="252" w:lineRule="auto"/>
      </w:pPr>
      <w:r>
        <w:rPr>
          <w:rFonts w:ascii="Arial" w:hAnsi="Arial"/>
          <w:sz w:val="21"/>
        </w:rPr>
        <w:t>This is not leniency. It is load-bearing accuracy.</w:t>
      </w:r>
    </w:p>
    <w:p>
      <w:pPr>
        <w:spacing w:after="120" w:line="252" w:lineRule="auto"/>
      </w:pPr>
    </w:p>
    <w:p>
      <w:pPr>
        <w:pStyle w:val="Heading1"/>
        <w:spacing w:after="120" w:line="252" w:lineRule="auto"/>
      </w:pPr>
      <w:r>
        <w:rPr>
          <w:rFonts w:ascii="Arial" w:hAnsi="Arial"/>
        </w:rPr>
        <w:t>5. Cannibalism and human remains: the named offence may be missing, the surrounding acts are not</w:t>
      </w:r>
    </w:p>
    <w:p>
      <w:pPr>
        <w:spacing w:after="120" w:line="252" w:lineRule="auto"/>
      </w:pPr>
    </w:p>
    <w:p>
      <w:pPr>
        <w:spacing w:after="120" w:line="252" w:lineRule="auto"/>
      </w:pPr>
      <w:r>
        <w:rPr>
          <w:rFonts w:ascii="Arial" w:hAnsi="Arial"/>
          <w:sz w:val="21"/>
        </w:rPr>
        <w:t>"Cannibalism is illegal" is a classic act-object tangle.</w:t>
      </w:r>
    </w:p>
    <w:p>
      <w:pPr>
        <w:spacing w:after="120" w:line="252" w:lineRule="auto"/>
      </w:pPr>
    </w:p>
    <w:p>
      <w:pPr>
        <w:spacing w:after="120" w:line="252" w:lineRule="auto"/>
      </w:pPr>
      <w:r>
        <w:rPr>
          <w:rFonts w:ascii="Arial" w:hAnsi="Arial"/>
          <w:sz w:val="21"/>
        </w:rPr>
        <w:t>In England and Wales, there is no simple modern statutory offence named "cannibalism" that does all the work by itself. That does not mean the surrounding acts are lawful or unreachable. Killing someone, assisting death, mutilating a body, preventing lawful and decent burial, outraging public decency, obstructing an inquest, unlawfully removing, storing, or using tissue, trafficking tissue for transplant, and other surrounding acts may all be criminal or regulated.</w:t>
      </w:r>
    </w:p>
    <w:p>
      <w:pPr>
        <w:spacing w:after="120" w:line="252" w:lineRule="auto"/>
      </w:pPr>
    </w:p>
    <w:p>
      <w:pPr>
        <w:spacing w:after="120" w:line="252" w:lineRule="auto"/>
      </w:pPr>
      <w:r>
        <w:rPr>
          <w:rFonts w:ascii="Arial" w:hAnsi="Arial"/>
          <w:sz w:val="21"/>
        </w:rPr>
        <w:t>The Law Commission has noted that offences against dead bodies rely on common law offences such as public nuisance, outraging public decency, and preventing lawful and decent burial, plus narrower statutory provisions, and that none squarely address corpse desecration as a general modern offence. The House of Lords Library has also described the law around human remains as relation-dependent: human remains can be held in museums and private collections and can be offered for sale in some circumstances, while provenance, acquisition, display, consent, licensing, transplant use, repatriation, and other duties may change the legal position.</w:t>
      </w:r>
    </w:p>
    <w:p>
      <w:pPr>
        <w:spacing w:after="120" w:line="252" w:lineRule="auto"/>
      </w:pPr>
    </w:p>
    <w:p>
      <w:pPr>
        <w:spacing w:after="120" w:line="252" w:lineRule="auto"/>
      </w:pPr>
      <w:r>
        <w:rPr>
          <w:rFonts w:ascii="Arial" w:hAnsi="Arial"/>
          <w:sz w:val="21"/>
        </w:rPr>
        <w:t>Act-bound sentence:</w:t>
      </w:r>
    </w:p>
    <w:p>
      <w:pPr>
        <w:spacing w:after="120" w:line="252" w:lineRule="auto"/>
      </w:pPr>
    </w:p>
    <w:p>
      <w:pPr>
        <w:pStyle w:val="CodeBlock"/>
        <w:spacing w:after="120" w:line="252" w:lineRule="auto"/>
      </w:pPr>
      <w:r>
        <w:rPr>
          <w:rFonts w:ascii="Arial" w:hAnsi="Arial"/>
        </w:rPr>
        <w:t>Cannibalism may not be a single named offence, but the acts required to create, obtain, handle, conceal, display, store, transport, or use human remains may trigger serious offences or regulatory duties.</w:t>
      </w:r>
    </w:p>
    <w:p>
      <w:pPr>
        <w:spacing w:after="120" w:line="252" w:lineRule="auto"/>
      </w:pPr>
    </w:p>
    <w:p>
      <w:pPr>
        <w:spacing w:after="120" w:line="252" w:lineRule="auto"/>
      </w:pPr>
      <w:r>
        <w:rPr>
          <w:rFonts w:ascii="Arial" w:hAnsi="Arial"/>
          <w:sz w:val="21"/>
        </w:rPr>
        <w:t>The named object does not decide the case. The act-network does.</w:t>
      </w:r>
    </w:p>
    <w:p>
      <w:pPr>
        <w:spacing w:after="120" w:line="252" w:lineRule="auto"/>
      </w:pPr>
    </w:p>
    <w:p>
      <w:pPr>
        <w:pStyle w:val="Heading1"/>
        <w:spacing w:after="120" w:line="252" w:lineRule="auto"/>
      </w:pPr>
      <w:r>
        <w:rPr>
          <w:rFonts w:ascii="Arial" w:hAnsi="Arial"/>
        </w:rPr>
        <w:t>6. AI: tool, model, output, request, service, duty</w:t>
      </w:r>
    </w:p>
    <w:p>
      <w:pPr>
        <w:spacing w:after="120" w:line="252" w:lineRule="auto"/>
      </w:pPr>
    </w:p>
    <w:p>
      <w:pPr>
        <w:spacing w:after="120" w:line="252" w:lineRule="auto"/>
      </w:pPr>
      <w:r>
        <w:rPr>
          <w:rFonts w:ascii="Arial" w:hAnsi="Arial"/>
          <w:sz w:val="21"/>
        </w:rPr>
        <w:t>Artificial intelligence is an especially fast object-swap surface.</w:t>
      </w:r>
    </w:p>
    <w:p>
      <w:pPr>
        <w:spacing w:after="120" w:line="252" w:lineRule="auto"/>
      </w:pPr>
    </w:p>
    <w:p>
      <w:pPr>
        <w:spacing w:after="120" w:line="252" w:lineRule="auto"/>
      </w:pPr>
      <w:r>
        <w:rPr>
          <w:rFonts w:ascii="Arial" w:hAnsi="Arial"/>
          <w:sz w:val="21"/>
        </w:rPr>
        <w:t>"AI is harmful" is too blunt to carry the legal object. AI can be a tool, service, model, interface, recommender system, assistant, generator, classifier, archive tool, fraud tool, writing tool, abuse amplifier, accessibility aid, or compliance system. A legal or policy argument must ask which act is being discussed.</w:t>
      </w:r>
    </w:p>
    <w:p>
      <w:pPr>
        <w:spacing w:after="120" w:line="252" w:lineRule="auto"/>
      </w:pPr>
    </w:p>
    <w:p>
      <w:pPr>
        <w:spacing w:after="120" w:line="252" w:lineRule="auto"/>
      </w:pPr>
      <w:r>
        <w:rPr>
          <w:rFonts w:ascii="Arial" w:hAnsi="Arial"/>
          <w:sz w:val="21"/>
        </w:rPr>
        <w:t>AI governance becomes sharper when it keeps these layers apart:</w:t>
      </w:r>
    </w:p>
    <w:p>
      <w:pPr>
        <w:spacing w:after="120" w:line="252" w:lineRule="auto"/>
      </w:pPr>
    </w:p>
    <w:p>
      <w:pPr>
        <w:pStyle w:val="CodeBlock"/>
        <w:spacing w:after="120" w:line="252" w:lineRule="auto"/>
      </w:pPr>
      <w:r>
        <w:rPr>
          <w:rFonts w:ascii="Arial" w:hAnsi="Arial"/>
        </w:rPr>
        <w:t>model design</w:t>
      </w:r>
    </w:p>
    <w:p>
      <w:pPr>
        <w:pStyle w:val="CodeBlock"/>
        <w:spacing w:after="120" w:line="252" w:lineRule="auto"/>
      </w:pPr>
      <w:r>
        <w:rPr>
          <w:rFonts w:ascii="Arial" w:hAnsi="Arial"/>
        </w:rPr>
        <w:t>training data</w:t>
      </w:r>
    </w:p>
    <w:p>
      <w:pPr>
        <w:pStyle w:val="CodeBlock"/>
        <w:spacing w:after="120" w:line="252" w:lineRule="auto"/>
      </w:pPr>
      <w:r>
        <w:rPr>
          <w:rFonts w:ascii="Arial" w:hAnsi="Arial"/>
        </w:rPr>
        <w:t>release mode</w:t>
      </w:r>
    </w:p>
    <w:p>
      <w:pPr>
        <w:pStyle w:val="CodeBlock"/>
        <w:spacing w:after="120" w:line="252" w:lineRule="auto"/>
      </w:pPr>
      <w:r>
        <w:rPr>
          <w:rFonts w:ascii="Arial" w:hAnsi="Arial"/>
        </w:rPr>
        <w:t>interface design</w:t>
      </w:r>
    </w:p>
    <w:p>
      <w:pPr>
        <w:pStyle w:val="CodeBlock"/>
        <w:spacing w:after="120" w:line="252" w:lineRule="auto"/>
      </w:pPr>
      <w:r>
        <w:rPr>
          <w:rFonts w:ascii="Arial" w:hAnsi="Arial"/>
        </w:rPr>
        <w:t>user request</w:t>
      </w:r>
    </w:p>
    <w:p>
      <w:pPr>
        <w:pStyle w:val="CodeBlock"/>
        <w:spacing w:after="120" w:line="252" w:lineRule="auto"/>
      </w:pPr>
      <w:r>
        <w:rPr>
          <w:rFonts w:ascii="Arial" w:hAnsi="Arial"/>
        </w:rPr>
        <w:t>generated output</w:t>
      </w:r>
    </w:p>
    <w:p>
      <w:pPr>
        <w:pStyle w:val="CodeBlock"/>
        <w:spacing w:after="120" w:line="252" w:lineRule="auto"/>
      </w:pPr>
      <w:r>
        <w:rPr>
          <w:rFonts w:ascii="Arial" w:hAnsi="Arial"/>
        </w:rPr>
        <w:t>storage</w:t>
      </w:r>
    </w:p>
    <w:p>
      <w:pPr>
        <w:pStyle w:val="CodeBlock"/>
        <w:spacing w:after="120" w:line="252" w:lineRule="auto"/>
      </w:pPr>
      <w:r>
        <w:rPr>
          <w:rFonts w:ascii="Arial" w:hAnsi="Arial"/>
        </w:rPr>
        <w:t>distribution</w:t>
      </w:r>
    </w:p>
    <w:p>
      <w:pPr>
        <w:pStyle w:val="CodeBlock"/>
        <w:spacing w:after="120" w:line="252" w:lineRule="auto"/>
      </w:pPr>
      <w:r>
        <w:rPr>
          <w:rFonts w:ascii="Arial" w:hAnsi="Arial"/>
        </w:rPr>
        <w:t>victim relation</w:t>
      </w:r>
    </w:p>
    <w:p>
      <w:pPr>
        <w:pStyle w:val="CodeBlock"/>
        <w:spacing w:after="120" w:line="252" w:lineRule="auto"/>
      </w:pPr>
      <w:r>
        <w:rPr>
          <w:rFonts w:ascii="Arial" w:hAnsi="Arial"/>
        </w:rPr>
        <w:t>platform duty</w:t>
      </w:r>
    </w:p>
    <w:p>
      <w:pPr>
        <w:pStyle w:val="CodeBlock"/>
        <w:spacing w:after="120" w:line="252" w:lineRule="auto"/>
      </w:pPr>
      <w:r>
        <w:rPr>
          <w:rFonts w:ascii="Arial" w:hAnsi="Arial"/>
        </w:rPr>
        <w:t>failure to remove or prevent</w:t>
      </w:r>
    </w:p>
    <w:p>
      <w:pPr>
        <w:spacing w:after="120" w:line="252" w:lineRule="auto"/>
      </w:pPr>
    </w:p>
    <w:p>
      <w:pPr>
        <w:spacing w:after="120" w:line="252" w:lineRule="auto"/>
      </w:pPr>
      <w:r>
        <w:rPr>
          <w:rFonts w:ascii="Arial" w:hAnsi="Arial"/>
          <w:sz w:val="21"/>
        </w:rPr>
        <w:t>The Online Safety Act does not simply ban AI. It creates duties for in-scope services around illegal content and illegal activity. The Data (Use and Access) Act 2025 section on purported intimate images likewise addresses creation or request in a specific image and consent relation.</w:t>
      </w:r>
    </w:p>
    <w:p>
      <w:pPr>
        <w:spacing w:after="120" w:line="252" w:lineRule="auto"/>
      </w:pPr>
    </w:p>
    <w:p>
      <w:pPr>
        <w:spacing w:after="120" w:line="252" w:lineRule="auto"/>
      </w:pPr>
      <w:r>
        <w:rPr>
          <w:rFonts w:ascii="Arial" w:hAnsi="Arial"/>
          <w:sz w:val="21"/>
        </w:rPr>
        <w:t>When all of that is collapsed into "AI harm," the object eats the act. When the act is bound, responsibility has somewhere to land.</w:t>
      </w:r>
    </w:p>
    <w:p>
      <w:pPr>
        <w:spacing w:after="120" w:line="252" w:lineRule="auto"/>
      </w:pPr>
    </w:p>
    <w:p>
      <w:pPr>
        <w:pStyle w:val="Heading1"/>
        <w:spacing w:after="120" w:line="252" w:lineRule="auto"/>
      </w:pPr>
      <w:r>
        <w:rPr>
          <w:rFonts w:ascii="Arial" w:hAnsi="Arial"/>
        </w:rPr>
        <w:t>7. States are not acts either</w:t>
      </w:r>
    </w:p>
    <w:p>
      <w:pPr>
        <w:spacing w:after="120" w:line="252" w:lineRule="auto"/>
      </w:pPr>
    </w:p>
    <w:p>
      <w:pPr>
        <w:spacing w:after="120" w:line="252" w:lineRule="auto"/>
      </w:pPr>
      <w:r>
        <w:rPr>
          <w:rFonts w:ascii="Arial" w:hAnsi="Arial"/>
          <w:sz w:val="21"/>
        </w:rPr>
        <w:t>The same distinction applies to states of mind and altered states.</w:t>
      </w:r>
    </w:p>
    <w:p>
      <w:pPr>
        <w:spacing w:after="120" w:line="252" w:lineRule="auto"/>
      </w:pPr>
    </w:p>
    <w:p>
      <w:pPr>
        <w:pStyle w:val="CodeBlock"/>
        <w:spacing w:after="120" w:line="252" w:lineRule="auto"/>
      </w:pPr>
      <w:r>
        <w:rPr>
          <w:rFonts w:ascii="Arial" w:hAnsi="Arial"/>
        </w:rPr>
        <w:t>panic is not an offence</w:t>
      </w:r>
    </w:p>
    <w:p>
      <w:pPr>
        <w:pStyle w:val="CodeBlock"/>
        <w:spacing w:after="120" w:line="252" w:lineRule="auto"/>
      </w:pPr>
      <w:r>
        <w:rPr>
          <w:rFonts w:ascii="Arial" w:hAnsi="Arial"/>
        </w:rPr>
        <w:t>psychosis is not an offence</w:t>
      </w:r>
    </w:p>
    <w:p>
      <w:pPr>
        <w:pStyle w:val="CodeBlock"/>
        <w:spacing w:after="120" w:line="252" w:lineRule="auto"/>
      </w:pPr>
      <w:r>
        <w:rPr>
          <w:rFonts w:ascii="Arial" w:hAnsi="Arial"/>
        </w:rPr>
        <w:t>intoxication is not an offence by itself</w:t>
      </w:r>
    </w:p>
    <w:p>
      <w:pPr>
        <w:pStyle w:val="CodeBlock"/>
        <w:spacing w:after="120" w:line="252" w:lineRule="auto"/>
      </w:pPr>
      <w:r>
        <w:rPr>
          <w:rFonts w:ascii="Arial" w:hAnsi="Arial"/>
        </w:rPr>
        <w:t>desire is not an offence</w:t>
      </w:r>
    </w:p>
    <w:p>
      <w:pPr>
        <w:pStyle w:val="CodeBlock"/>
        <w:spacing w:after="120" w:line="252" w:lineRule="auto"/>
      </w:pPr>
      <w:r>
        <w:rPr>
          <w:rFonts w:ascii="Arial" w:hAnsi="Arial"/>
        </w:rPr>
        <w:t>fear is not an offence</w:t>
      </w:r>
    </w:p>
    <w:p>
      <w:pPr>
        <w:pStyle w:val="CodeBlock"/>
        <w:spacing w:after="120" w:line="252" w:lineRule="auto"/>
      </w:pPr>
      <w:r>
        <w:rPr>
          <w:rFonts w:ascii="Arial" w:hAnsi="Arial"/>
        </w:rPr>
        <w:t>anger is not an offence</w:t>
      </w:r>
    </w:p>
    <w:p>
      <w:pPr>
        <w:pStyle w:val="CodeBlock"/>
        <w:spacing w:after="120" w:line="252" w:lineRule="auto"/>
      </w:pPr>
      <w:r>
        <w:rPr>
          <w:rFonts w:ascii="Arial" w:hAnsi="Arial"/>
        </w:rPr>
        <w:t>a fantasy is not an offence</w:t>
      </w:r>
    </w:p>
    <w:p>
      <w:pPr>
        <w:pStyle w:val="CodeBlock"/>
        <w:spacing w:after="120" w:line="252" w:lineRule="auto"/>
      </w:pPr>
      <w:r>
        <w:rPr>
          <w:rFonts w:ascii="Arial" w:hAnsi="Arial"/>
        </w:rPr>
        <w:t>a dream is not an offence</w:t>
      </w:r>
    </w:p>
    <w:p>
      <w:pPr>
        <w:spacing w:after="120" w:line="252" w:lineRule="auto"/>
      </w:pPr>
    </w:p>
    <w:p>
      <w:pPr>
        <w:spacing w:after="120" w:line="252" w:lineRule="auto"/>
      </w:pPr>
      <w:r>
        <w:rPr>
          <w:rFonts w:ascii="Arial" w:hAnsi="Arial"/>
          <w:sz w:val="21"/>
        </w:rPr>
        <w:t>A state may matter legally. It can shape intent, capacity, recklessness, defences, risk, sentencing, safeguarding, treatment, or duty of care. But a state is not the same thing as an act. A person in an altered state may still be accountable for acts. A person in an ordinary state may do great harm. The state is evidence or context. It is not the whole offence.</w:t>
      </w:r>
    </w:p>
    <w:p>
      <w:pPr>
        <w:spacing w:after="120" w:line="252" w:lineRule="auto"/>
      </w:pPr>
    </w:p>
    <w:p>
      <w:pPr>
        <w:spacing w:after="120" w:line="252" w:lineRule="auto"/>
      </w:pPr>
      <w:r>
        <w:rPr>
          <w:rFonts w:ascii="Arial" w:hAnsi="Arial"/>
          <w:sz w:val="21"/>
        </w:rPr>
        <w:t>This matters because public language often turns internal states into social threat objects. Once that happens, people can be managed as if they are already acts waiting to happen. The same grammar that says "drug equals crime" can say "madness equals danger" or "AI equals harm."</w:t>
      </w:r>
    </w:p>
    <w:p>
      <w:pPr>
        <w:spacing w:after="120" w:line="252" w:lineRule="auto"/>
      </w:pPr>
    </w:p>
    <w:p>
      <w:pPr>
        <w:spacing w:after="120" w:line="252" w:lineRule="auto"/>
      </w:pPr>
      <w:r>
        <w:rPr>
          <w:rFonts w:ascii="Arial" w:hAnsi="Arial"/>
          <w:sz w:val="21"/>
        </w:rPr>
        <w:t>Act Is Not Object resists that slide.</w:t>
      </w:r>
    </w:p>
    <w:p>
      <w:pPr>
        <w:spacing w:after="120" w:line="252" w:lineRule="auto"/>
      </w:pPr>
    </w:p>
    <w:p>
      <w:pPr>
        <w:pStyle w:val="Heading1"/>
        <w:spacing w:after="120" w:line="252" w:lineRule="auto"/>
      </w:pPr>
      <w:r>
        <w:rPr>
          <w:rFonts w:ascii="Arial" w:hAnsi="Arial"/>
        </w:rPr>
        <w:t>8. The moral smuggling function</w:t>
      </w:r>
    </w:p>
    <w:p>
      <w:pPr>
        <w:spacing w:after="120" w:line="252" w:lineRule="auto"/>
      </w:pPr>
    </w:p>
    <w:p>
      <w:pPr>
        <w:spacing w:after="120" w:line="252" w:lineRule="auto"/>
      </w:pPr>
      <w:r>
        <w:rPr>
          <w:rFonts w:ascii="Arial" w:hAnsi="Arial"/>
          <w:sz w:val="21"/>
        </w:rPr>
        <w:t>Object-language is useful for propaganda because it is portable.</w:t>
      </w:r>
    </w:p>
    <w:p>
      <w:pPr>
        <w:spacing w:after="120" w:line="252" w:lineRule="auto"/>
      </w:pPr>
    </w:p>
    <w:p>
      <w:pPr>
        <w:pStyle w:val="CodeBlock"/>
        <w:spacing w:after="120" w:line="252" w:lineRule="auto"/>
      </w:pPr>
      <w:r>
        <w:rPr>
          <w:rFonts w:ascii="Arial" w:hAnsi="Arial"/>
        </w:rPr>
        <w:t>a plant becomes a crime-object</w:t>
      </w:r>
    </w:p>
    <w:p>
      <w:pPr>
        <w:pStyle w:val="CodeBlock"/>
        <w:spacing w:after="120" w:line="252" w:lineRule="auto"/>
      </w:pPr>
      <w:r>
        <w:rPr>
          <w:rFonts w:ascii="Arial" w:hAnsi="Arial"/>
        </w:rPr>
        <w:t>a person near the plant becomes suspect</w:t>
      </w:r>
    </w:p>
    <w:p>
      <w:pPr>
        <w:pStyle w:val="CodeBlock"/>
        <w:spacing w:after="120" w:line="252" w:lineRule="auto"/>
      </w:pPr>
      <w:r>
        <w:rPr>
          <w:rFonts w:ascii="Arial" w:hAnsi="Arial"/>
        </w:rPr>
        <w:t>a room where the plant appears becomes suspect</w:t>
      </w:r>
    </w:p>
    <w:p>
      <w:pPr>
        <w:pStyle w:val="CodeBlock"/>
        <w:spacing w:after="120" w:line="252" w:lineRule="auto"/>
      </w:pPr>
      <w:r>
        <w:rPr>
          <w:rFonts w:ascii="Arial" w:hAnsi="Arial"/>
        </w:rPr>
        <w:t>music near the room becomes suspect</w:t>
      </w:r>
    </w:p>
    <w:p>
      <w:pPr>
        <w:pStyle w:val="CodeBlock"/>
        <w:spacing w:after="120" w:line="252" w:lineRule="auto"/>
      </w:pPr>
      <w:r>
        <w:rPr>
          <w:rFonts w:ascii="Arial" w:hAnsi="Arial"/>
        </w:rPr>
        <w:t>a neighbourhood near the music becomes suspect</w:t>
      </w:r>
    </w:p>
    <w:p>
      <w:pPr>
        <w:pStyle w:val="CodeBlock"/>
        <w:spacing w:after="120" w:line="252" w:lineRule="auto"/>
      </w:pPr>
      <w:r>
        <w:rPr>
          <w:rFonts w:ascii="Arial" w:hAnsi="Arial"/>
        </w:rPr>
        <w:t>a group near the neighbourhood becomes suspect</w:t>
      </w:r>
    </w:p>
    <w:p>
      <w:pPr>
        <w:spacing w:after="120" w:line="252" w:lineRule="auto"/>
      </w:pPr>
    </w:p>
    <w:p>
      <w:pPr>
        <w:spacing w:after="120" w:line="252" w:lineRule="auto"/>
      </w:pPr>
      <w:r>
        <w:rPr>
          <w:rFonts w:ascii="Arial" w:hAnsi="Arial"/>
          <w:sz w:val="21"/>
        </w:rPr>
        <w:t>The act has vanished. The object has become a blame-carrier.</w:t>
      </w:r>
    </w:p>
    <w:p>
      <w:pPr>
        <w:spacing w:after="120" w:line="252" w:lineRule="auto"/>
      </w:pPr>
    </w:p>
    <w:p>
      <w:pPr>
        <w:spacing w:after="120" w:line="252" w:lineRule="auto"/>
      </w:pPr>
      <w:r>
        <w:rPr>
          <w:rFonts w:ascii="Arial" w:hAnsi="Arial"/>
          <w:sz w:val="21"/>
        </w:rPr>
        <w:t>This is why drug-war speech often relies on object panic. It can attack people while claiming to attack a thing. It can frame removal, surveillance, exclusion, policing, and family separation as protection from an object. The target is not announced as a people. It is announced as a bad substance, bad influence, bad content, bad image, bad state, bad tool.</w:t>
      </w:r>
    </w:p>
    <w:p>
      <w:pPr>
        <w:spacing w:after="120" w:line="252" w:lineRule="auto"/>
      </w:pPr>
    </w:p>
    <w:p>
      <w:pPr>
        <w:spacing w:after="120" w:line="252" w:lineRule="auto"/>
      </w:pPr>
      <w:r>
        <w:rPr>
          <w:rFonts w:ascii="Arial" w:hAnsi="Arial"/>
          <w:sz w:val="21"/>
        </w:rPr>
        <w:t>Act-language does not end stigma by itself. But it makes the propaganda move harder. It asks:</w:t>
      </w:r>
    </w:p>
    <w:p>
      <w:pPr>
        <w:spacing w:after="120" w:line="252" w:lineRule="auto"/>
      </w:pPr>
    </w:p>
    <w:p>
      <w:pPr>
        <w:pStyle w:val="CodeBlock"/>
        <w:spacing w:after="120" w:line="252" w:lineRule="auto"/>
      </w:pPr>
      <w:r>
        <w:rPr>
          <w:rFonts w:ascii="Arial" w:hAnsi="Arial"/>
        </w:rPr>
        <w:t>What act?</w:t>
      </w:r>
    </w:p>
    <w:p>
      <w:pPr>
        <w:pStyle w:val="CodeBlock"/>
        <w:spacing w:after="120" w:line="252" w:lineRule="auto"/>
      </w:pPr>
      <w:r>
        <w:rPr>
          <w:rFonts w:ascii="Arial" w:hAnsi="Arial"/>
        </w:rPr>
        <w:t>Whose act?</w:t>
      </w:r>
    </w:p>
    <w:p>
      <w:pPr>
        <w:pStyle w:val="CodeBlock"/>
        <w:spacing w:after="120" w:line="252" w:lineRule="auto"/>
      </w:pPr>
      <w:r>
        <w:rPr>
          <w:rFonts w:ascii="Arial" w:hAnsi="Arial"/>
        </w:rPr>
        <w:t>Which object?</w:t>
      </w:r>
    </w:p>
    <w:p>
      <w:pPr>
        <w:pStyle w:val="CodeBlock"/>
        <w:spacing w:after="120" w:line="252" w:lineRule="auto"/>
      </w:pPr>
      <w:r>
        <w:rPr>
          <w:rFonts w:ascii="Arial" w:hAnsi="Arial"/>
        </w:rPr>
        <w:t>Which relation?</w:t>
      </w:r>
    </w:p>
    <w:p>
      <w:pPr>
        <w:pStyle w:val="CodeBlock"/>
        <w:spacing w:after="120" w:line="252" w:lineRule="auto"/>
      </w:pPr>
      <w:r>
        <w:rPr>
          <w:rFonts w:ascii="Arial" w:hAnsi="Arial"/>
        </w:rPr>
        <w:t>Which victim?</w:t>
      </w:r>
    </w:p>
    <w:p>
      <w:pPr>
        <w:pStyle w:val="CodeBlock"/>
        <w:spacing w:after="120" w:line="252" w:lineRule="auto"/>
      </w:pPr>
      <w:r>
        <w:rPr>
          <w:rFonts w:ascii="Arial" w:hAnsi="Arial"/>
        </w:rPr>
        <w:t>Which duty?</w:t>
      </w:r>
    </w:p>
    <w:p>
      <w:pPr>
        <w:pStyle w:val="CodeBlock"/>
        <w:spacing w:after="120" w:line="252" w:lineRule="auto"/>
      </w:pPr>
      <w:r>
        <w:rPr>
          <w:rFonts w:ascii="Arial" w:hAnsi="Arial"/>
        </w:rPr>
        <w:t>Which law?</w:t>
      </w:r>
    </w:p>
    <w:p>
      <w:pPr>
        <w:pStyle w:val="CodeBlock"/>
        <w:spacing w:after="120" w:line="252" w:lineRule="auto"/>
      </w:pPr>
      <w:r>
        <w:rPr>
          <w:rFonts w:ascii="Arial" w:hAnsi="Arial"/>
        </w:rPr>
        <w:t>Which evidence?</w:t>
      </w:r>
    </w:p>
    <w:p>
      <w:pPr>
        <w:spacing w:after="120" w:line="252" w:lineRule="auto"/>
      </w:pPr>
    </w:p>
    <w:p>
      <w:pPr>
        <w:spacing w:after="120" w:line="252" w:lineRule="auto"/>
      </w:pPr>
      <w:r>
        <w:rPr>
          <w:rFonts w:ascii="Arial" w:hAnsi="Arial"/>
          <w:sz w:val="21"/>
        </w:rPr>
        <w:t>If the answer is only "that thing is bad," the legal object has not yet been bound.</w:t>
      </w:r>
    </w:p>
    <w:p>
      <w:pPr>
        <w:spacing w:after="120" w:line="252" w:lineRule="auto"/>
      </w:pPr>
    </w:p>
    <w:p>
      <w:pPr>
        <w:pStyle w:val="Heading1"/>
        <w:spacing w:after="120" w:line="252" w:lineRule="auto"/>
      </w:pPr>
      <w:r>
        <w:rPr>
          <w:rFonts w:ascii="Arial" w:hAnsi="Arial"/>
        </w:rPr>
        <w:t>9. Relation to MOGRI</w:t>
      </w:r>
    </w:p>
    <w:p>
      <w:pPr>
        <w:spacing w:after="120" w:line="252" w:lineRule="auto"/>
      </w:pPr>
    </w:p>
    <w:p>
      <w:pPr>
        <w:spacing w:after="120" w:line="252" w:lineRule="auto"/>
      </w:pPr>
      <w:r>
        <w:rPr>
          <w:rFonts w:ascii="Arial" w:hAnsi="Arial"/>
          <w:sz w:val="21"/>
        </w:rPr>
        <w:t>Act Is Not Object is a MOGRI method for legal and public speech.</w:t>
      </w:r>
    </w:p>
    <w:p>
      <w:pPr>
        <w:spacing w:after="120" w:line="252" w:lineRule="auto"/>
      </w:pPr>
    </w:p>
    <w:p>
      <w:pPr>
        <w:spacing w:after="120" w:line="252" w:lineRule="auto"/>
      </w:pPr>
      <w:r>
        <w:rPr>
          <w:rFonts w:ascii="Arial" w:hAnsi="Arial"/>
          <w:sz w:val="21"/>
        </w:rPr>
        <w:t>MOGRI asks whether the object survived the transformation. In this paper, the protected object is the act-relation. The likely swap is object panic.</w:t>
      </w:r>
    </w:p>
    <w:p>
      <w:pPr>
        <w:spacing w:after="120" w:line="252" w:lineRule="auto"/>
      </w:pPr>
    </w:p>
    <w:p>
      <w:pPr>
        <w:pStyle w:val="CodeBlock"/>
        <w:spacing w:after="120" w:line="252" w:lineRule="auto"/>
      </w:pPr>
      <w:r>
        <w:rPr>
          <w:rFonts w:ascii="Arial" w:hAnsi="Arial"/>
        </w:rPr>
        <w:t>MOGRI holds:</w:t>
      </w:r>
    </w:p>
    <w:p>
      <w:pPr>
        <w:pStyle w:val="CodeBlock"/>
        <w:spacing w:after="120" w:line="252" w:lineRule="auto"/>
      </w:pPr>
      <w:r>
        <w:rPr>
          <w:rFonts w:ascii="Arial" w:hAnsi="Arial"/>
        </w:rPr>
        <w:t>object</w:t>
      </w:r>
    </w:p>
    <w:p>
      <w:pPr>
        <w:pStyle w:val="CodeBlock"/>
        <w:spacing w:after="120" w:line="252" w:lineRule="auto"/>
      </w:pPr>
      <w:r>
        <w:rPr>
          <w:rFonts w:ascii="Arial" w:hAnsi="Arial"/>
        </w:rPr>
        <w:t>actor</w:t>
      </w:r>
    </w:p>
    <w:p>
      <w:pPr>
        <w:pStyle w:val="CodeBlock"/>
        <w:spacing w:after="120" w:line="252" w:lineRule="auto"/>
      </w:pPr>
      <w:r>
        <w:rPr>
          <w:rFonts w:ascii="Arial" w:hAnsi="Arial"/>
        </w:rPr>
        <w:t>act</w:t>
      </w:r>
    </w:p>
    <w:p>
      <w:pPr>
        <w:pStyle w:val="CodeBlock"/>
        <w:spacing w:after="120" w:line="252" w:lineRule="auto"/>
      </w:pPr>
      <w:r>
        <w:rPr>
          <w:rFonts w:ascii="Arial" w:hAnsi="Arial"/>
        </w:rPr>
        <w:t>relation</w:t>
      </w:r>
    </w:p>
    <w:p>
      <w:pPr>
        <w:pStyle w:val="CodeBlock"/>
        <w:spacing w:after="120" w:line="252" w:lineRule="auto"/>
      </w:pPr>
      <w:r>
        <w:rPr>
          <w:rFonts w:ascii="Arial" w:hAnsi="Arial"/>
        </w:rPr>
        <w:t>rule</w:t>
      </w:r>
    </w:p>
    <w:p>
      <w:pPr>
        <w:pStyle w:val="CodeBlock"/>
        <w:spacing w:after="120" w:line="252" w:lineRule="auto"/>
      </w:pPr>
      <w:r>
        <w:rPr>
          <w:rFonts w:ascii="Arial" w:hAnsi="Arial"/>
        </w:rPr>
        <w:t>evidence</w:t>
      </w:r>
    </w:p>
    <w:p>
      <w:pPr>
        <w:spacing w:after="120" w:line="252" w:lineRule="auto"/>
      </w:pPr>
    </w:p>
    <w:p>
      <w:pPr>
        <w:spacing w:after="120" w:line="252" w:lineRule="auto"/>
      </w:pPr>
      <w:r>
        <w:rPr>
          <w:rFonts w:ascii="Arial" w:hAnsi="Arial"/>
          <w:sz w:val="21"/>
        </w:rPr>
        <w:t>The failure is:</w:t>
      </w:r>
    </w:p>
    <w:p>
      <w:pPr>
        <w:spacing w:after="120" w:line="252" w:lineRule="auto"/>
      </w:pPr>
    </w:p>
    <w:p>
      <w:pPr>
        <w:pStyle w:val="CodeBlock"/>
        <w:spacing w:after="120" w:line="252" w:lineRule="auto"/>
      </w:pPr>
      <w:r>
        <w:rPr>
          <w:rFonts w:ascii="Arial" w:hAnsi="Arial"/>
        </w:rPr>
        <w:t>object -&gt; offence</w:t>
      </w:r>
    </w:p>
    <w:p>
      <w:pPr>
        <w:pStyle w:val="CodeBlock"/>
        <w:spacing w:after="120" w:line="252" w:lineRule="auto"/>
      </w:pPr>
      <w:r>
        <w:rPr>
          <w:rFonts w:ascii="Arial" w:hAnsi="Arial"/>
        </w:rPr>
        <w:t>state -&gt; act</w:t>
      </w:r>
    </w:p>
    <w:p>
      <w:pPr>
        <w:pStyle w:val="CodeBlock"/>
        <w:spacing w:after="120" w:line="252" w:lineRule="auto"/>
      </w:pPr>
      <w:r>
        <w:rPr>
          <w:rFonts w:ascii="Arial" w:hAnsi="Arial"/>
        </w:rPr>
        <w:t>tool -&gt; intent</w:t>
      </w:r>
    </w:p>
    <w:p>
      <w:pPr>
        <w:pStyle w:val="CodeBlock"/>
        <w:spacing w:after="120" w:line="252" w:lineRule="auto"/>
      </w:pPr>
      <w:r>
        <w:rPr>
          <w:rFonts w:ascii="Arial" w:hAnsi="Arial"/>
        </w:rPr>
        <w:t>word -&gt; verdict</w:t>
      </w:r>
    </w:p>
    <w:p>
      <w:pPr>
        <w:pStyle w:val="CodeBlock"/>
        <w:spacing w:after="120" w:line="252" w:lineRule="auto"/>
      </w:pPr>
      <w:r>
        <w:rPr>
          <w:rFonts w:ascii="Arial" w:hAnsi="Arial"/>
        </w:rPr>
        <w:t>fragment -&gt; person</w:t>
      </w:r>
    </w:p>
    <w:p>
      <w:pPr>
        <w:spacing w:after="120" w:line="252" w:lineRule="auto"/>
      </w:pPr>
    </w:p>
    <w:p>
      <w:pPr>
        <w:spacing w:after="120" w:line="252" w:lineRule="auto"/>
      </w:pPr>
      <w:r>
        <w:rPr>
          <w:rFonts w:ascii="Arial" w:hAnsi="Arial"/>
          <w:sz w:val="21"/>
        </w:rPr>
        <w:t>MOGRI blocks that by asking what was actually claimed and what has been swapped in.</w:t>
      </w:r>
    </w:p>
    <w:p>
      <w:pPr>
        <w:spacing w:after="120" w:line="252" w:lineRule="auto"/>
      </w:pPr>
    </w:p>
    <w:p>
      <w:pPr>
        <w:pStyle w:val="Heading1"/>
        <w:spacing w:after="120" w:line="252" w:lineRule="auto"/>
      </w:pPr>
      <w:r>
        <w:rPr>
          <w:rFonts w:ascii="Arial" w:hAnsi="Arial"/>
        </w:rPr>
        <w:t>10. Bridges to the surrounding stack</w:t>
      </w:r>
    </w:p>
    <w:p>
      <w:pPr>
        <w:spacing w:after="120" w:line="252" w:lineRule="auto"/>
      </w:pPr>
    </w:p>
    <w:p>
      <w:pPr>
        <w:spacing w:after="120" w:line="252" w:lineRule="auto"/>
      </w:pPr>
      <w:r>
        <w:rPr>
          <w:rFonts w:ascii="Arial" w:hAnsi="Arial"/>
          <w:sz w:val="21"/>
        </w:rPr>
        <w:t>Act Is Not Object connects directly to nearby method notes.</w:t>
      </w:r>
    </w:p>
    <w:p>
      <w:pPr>
        <w:spacing w:after="120" w:line="252" w:lineRule="auto"/>
      </w:pP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pPr>
              <w:spacing w:after="0"/>
            </w:pPr>
            <w:r>
              <w:rPr>
                <w:rFonts w:ascii="Arial" w:hAnsi="Arial"/>
                <w:sz w:val="18"/>
              </w:rPr>
            </w:r>
            <w:r>
              <w:rPr>
                <w:rFonts w:ascii="Arial" w:hAnsi="Arial"/>
                <w:b/>
                <w:sz w:val="18"/>
              </w:rPr>
              <w:t>Method</w:t>
            </w:r>
          </w:p>
        </w:tc>
        <w:tc>
          <w:tcPr>
            <w:tcW w:type="dxa" w:w="3360"/>
            <w:vAlign w:val="top"/>
            <w:shd w:fill="EDEDED"/>
          </w:tcPr>
          <w:p>
            <w:pPr>
              <w:spacing w:after="0"/>
            </w:pPr>
            <w:r>
              <w:rPr>
                <w:rFonts w:ascii="Arial" w:hAnsi="Arial"/>
                <w:sz w:val="18"/>
              </w:rPr>
            </w:r>
            <w:r>
              <w:rPr>
                <w:rFonts w:ascii="Arial" w:hAnsi="Arial"/>
                <w:b/>
                <w:sz w:val="18"/>
              </w:rPr>
              <w:t>Core lock</w:t>
            </w:r>
          </w:p>
        </w:tc>
        <w:tc>
          <w:tcPr>
            <w:tcW w:type="dxa" w:w="3360"/>
            <w:vAlign w:val="top"/>
            <w:shd w:fill="EDEDED"/>
          </w:tcPr>
          <w:p>
            <w:pPr>
              <w:spacing w:after="0"/>
            </w:pPr>
            <w:r>
              <w:rPr>
                <w:rFonts w:ascii="Arial" w:hAnsi="Arial"/>
                <w:sz w:val="18"/>
              </w:rPr>
            </w:r>
            <w:r>
              <w:rPr>
                <w:rFonts w:ascii="Arial" w:hAnsi="Arial"/>
                <w:b/>
                <w:sz w:val="18"/>
              </w:rPr>
              <w:t>Shared custody problem</w:t>
            </w:r>
          </w:p>
        </w:tc>
      </w:tr>
      <w:tr>
        <w:tc>
          <w:tcPr>
            <w:tcW w:type="dxa" w:w="3360"/>
            <w:vAlign w:val="top"/>
          </w:tcPr>
          <w:p>
            <w:pPr>
              <w:spacing w:after="0"/>
            </w:pPr>
            <w:r>
              <w:rPr>
                <w:rFonts w:ascii="Arial" w:hAnsi="Arial"/>
                <w:sz w:val="18"/>
              </w:rPr>
            </w:r>
            <w:r>
              <w:rPr>
                <w:rFonts w:ascii="Arial" w:hAnsi="Arial"/>
                <w:b w:val="0"/>
                <w:sz w:val="18"/>
              </w:rPr>
              <w:t>Evidence Is Not Person</w:t>
            </w:r>
          </w:p>
        </w:tc>
        <w:tc>
          <w:tcPr>
            <w:tcW w:type="dxa" w:w="3360"/>
            <w:vAlign w:val="top"/>
          </w:tcPr>
          <w:p>
            <w:pPr>
              <w:spacing w:after="0"/>
            </w:pPr>
            <w:r>
              <w:rPr>
                <w:rFonts w:ascii="Arial" w:hAnsi="Arial"/>
                <w:sz w:val="18"/>
              </w:rPr>
            </w:r>
            <w:r>
              <w:rPr>
                <w:rFonts w:ascii="Arial" w:hAnsi="Arial"/>
                <w:b w:val="0"/>
                <w:sz w:val="18"/>
              </w:rPr>
              <w:t>fragment != person</w:t>
            </w:r>
          </w:p>
        </w:tc>
        <w:tc>
          <w:tcPr>
            <w:tcW w:type="dxa" w:w="3360"/>
            <w:vAlign w:val="top"/>
          </w:tcPr>
          <w:p>
            <w:pPr>
              <w:spacing w:after="0"/>
            </w:pPr>
            <w:r>
              <w:rPr>
                <w:rFonts w:ascii="Arial" w:hAnsi="Arial"/>
                <w:sz w:val="18"/>
              </w:rPr>
            </w:r>
            <w:r>
              <w:rPr>
                <w:rFonts w:ascii="Arial" w:hAnsi="Arial"/>
                <w:b w:val="0"/>
                <w:sz w:val="18"/>
              </w:rPr>
              <w:t>a piece of evidence must not replace a human</w:t>
            </w:r>
          </w:p>
        </w:tc>
      </w:tr>
      <w:tr>
        <w:tc>
          <w:tcPr>
            <w:tcW w:type="dxa" w:w="3360"/>
            <w:vAlign w:val="top"/>
          </w:tcPr>
          <w:p>
            <w:pPr>
              <w:spacing w:after="0"/>
            </w:pPr>
            <w:r>
              <w:rPr>
                <w:rFonts w:ascii="Arial" w:hAnsi="Arial"/>
                <w:sz w:val="18"/>
              </w:rPr>
            </w:r>
            <w:r>
              <w:rPr>
                <w:rFonts w:ascii="Arial" w:hAnsi="Arial"/>
                <w:b w:val="0"/>
                <w:sz w:val="18"/>
              </w:rPr>
              <w:t>Language Police as Access Barrier</w:t>
            </w:r>
          </w:p>
        </w:tc>
        <w:tc>
          <w:tcPr>
            <w:tcW w:type="dxa" w:w="3360"/>
            <w:vAlign w:val="top"/>
          </w:tcPr>
          <w:p>
            <w:pPr>
              <w:spacing w:after="0"/>
            </w:pPr>
            <w:r>
              <w:rPr>
                <w:rFonts w:ascii="Arial" w:hAnsi="Arial"/>
                <w:sz w:val="18"/>
              </w:rPr>
            </w:r>
            <w:r>
              <w:rPr>
                <w:rFonts w:ascii="Arial" w:hAnsi="Arial"/>
                <w:b w:val="0"/>
                <w:sz w:val="18"/>
              </w:rPr>
              <w:t>word surface != intent</w:t>
            </w:r>
          </w:p>
        </w:tc>
        <w:tc>
          <w:tcPr>
            <w:tcW w:type="dxa" w:w="3360"/>
            <w:vAlign w:val="top"/>
          </w:tcPr>
          <w:p>
            <w:pPr>
              <w:spacing w:after="0"/>
            </w:pPr>
            <w:r>
              <w:rPr>
                <w:rFonts w:ascii="Arial" w:hAnsi="Arial"/>
                <w:sz w:val="18"/>
              </w:rPr>
            </w:r>
            <w:r>
              <w:rPr>
                <w:rFonts w:ascii="Arial" w:hAnsi="Arial"/>
                <w:b w:val="0"/>
                <w:sz w:val="18"/>
              </w:rPr>
              <w:t>a word must be bound to speaker, target, context, and act</w:t>
            </w:r>
          </w:p>
        </w:tc>
      </w:tr>
      <w:tr>
        <w:tc>
          <w:tcPr>
            <w:tcW w:type="dxa" w:w="3360"/>
            <w:vAlign w:val="top"/>
          </w:tcPr>
          <w:p>
            <w:pPr>
              <w:spacing w:after="0"/>
            </w:pPr>
            <w:r>
              <w:rPr>
                <w:rFonts w:ascii="Arial" w:hAnsi="Arial"/>
                <w:sz w:val="18"/>
              </w:rPr>
            </w:r>
            <w:r>
              <w:rPr>
                <w:rFonts w:ascii="Arial" w:hAnsi="Arial"/>
                <w:b w:val="0"/>
                <w:sz w:val="18"/>
              </w:rPr>
              <w:t>Psychosis_Gate</w:t>
            </w:r>
          </w:p>
        </w:tc>
        <w:tc>
          <w:tcPr>
            <w:tcW w:type="dxa" w:w="3360"/>
            <w:vAlign w:val="top"/>
          </w:tcPr>
          <w:p>
            <w:pPr>
              <w:spacing w:after="0"/>
            </w:pPr>
            <w:r>
              <w:rPr>
                <w:rFonts w:ascii="Arial" w:hAnsi="Arial"/>
                <w:sz w:val="18"/>
              </w:rPr>
            </w:r>
            <w:r>
              <w:rPr>
                <w:rFonts w:ascii="Arial" w:hAnsi="Arial"/>
                <w:b w:val="0"/>
                <w:sz w:val="18"/>
              </w:rPr>
              <w:t>strange speech != invalidity</w:t>
            </w:r>
          </w:p>
        </w:tc>
        <w:tc>
          <w:tcPr>
            <w:tcW w:type="dxa" w:w="3360"/>
            <w:vAlign w:val="top"/>
          </w:tcPr>
          <w:p>
            <w:pPr>
              <w:spacing w:after="0"/>
            </w:pPr>
            <w:r>
              <w:rPr>
                <w:rFonts w:ascii="Arial" w:hAnsi="Arial"/>
                <w:sz w:val="18"/>
              </w:rPr>
            </w:r>
            <w:r>
              <w:rPr>
                <w:rFonts w:ascii="Arial" w:hAnsi="Arial"/>
                <w:b w:val="0"/>
                <w:sz w:val="18"/>
              </w:rPr>
              <w:t>a state-language marker must not become dismissal</w:t>
            </w:r>
          </w:p>
        </w:tc>
      </w:tr>
      <w:tr>
        <w:tc>
          <w:tcPr>
            <w:tcW w:type="dxa" w:w="3360"/>
            <w:vAlign w:val="top"/>
          </w:tcPr>
          <w:p>
            <w:pPr>
              <w:spacing w:after="0"/>
            </w:pPr>
            <w:r>
              <w:rPr>
                <w:rFonts w:ascii="Arial" w:hAnsi="Arial"/>
                <w:sz w:val="18"/>
              </w:rPr>
            </w:r>
            <w:r>
              <w:rPr>
                <w:rFonts w:ascii="Arial" w:hAnsi="Arial"/>
                <w:b w:val="0"/>
                <w:sz w:val="18"/>
              </w:rPr>
              <w:t>Good Bad Reader</w:t>
            </w:r>
          </w:p>
        </w:tc>
        <w:tc>
          <w:tcPr>
            <w:tcW w:type="dxa" w:w="3360"/>
            <w:vAlign w:val="top"/>
          </w:tcPr>
          <w:p>
            <w:pPr>
              <w:spacing w:after="0"/>
            </w:pPr>
            <w:r>
              <w:rPr>
                <w:rFonts w:ascii="Arial" w:hAnsi="Arial"/>
                <w:sz w:val="18"/>
              </w:rPr>
            </w:r>
            <w:r>
              <w:rPr>
                <w:rFonts w:ascii="Arial" w:hAnsi="Arial"/>
                <w:b w:val="0"/>
                <w:sz w:val="18"/>
              </w:rPr>
              <w:t>predictable swap needs a fence</w:t>
            </w:r>
          </w:p>
        </w:tc>
        <w:tc>
          <w:tcPr>
            <w:tcW w:type="dxa" w:w="3360"/>
            <w:vAlign w:val="top"/>
          </w:tcPr>
          <w:p>
            <w:pPr>
              <w:spacing w:after="0"/>
            </w:pPr>
            <w:r>
              <w:rPr>
                <w:rFonts w:ascii="Arial" w:hAnsi="Arial"/>
                <w:sz w:val="18"/>
              </w:rPr>
            </w:r>
            <w:r>
              <w:rPr>
                <w:rFonts w:ascii="Arial" w:hAnsi="Arial"/>
                <w:b w:val="0"/>
                <w:sz w:val="18"/>
              </w:rPr>
              <w:t>the reader must not replace the object with a familiar alarm</w:t>
            </w:r>
          </w:p>
        </w:tc>
      </w:tr>
      <w:tr>
        <w:tc>
          <w:tcPr>
            <w:tcW w:type="dxa" w:w="3360"/>
            <w:vAlign w:val="top"/>
          </w:tcPr>
          <w:p>
            <w:pPr>
              <w:spacing w:after="0"/>
            </w:pPr>
            <w:r>
              <w:rPr>
                <w:rFonts w:ascii="Arial" w:hAnsi="Arial"/>
                <w:sz w:val="18"/>
              </w:rPr>
            </w:r>
            <w:r>
              <w:rPr>
                <w:rFonts w:ascii="Arial" w:hAnsi="Arial"/>
                <w:b w:val="0"/>
                <w:sz w:val="18"/>
              </w:rPr>
              <w:t>MOGRI</w:t>
            </w:r>
          </w:p>
        </w:tc>
        <w:tc>
          <w:tcPr>
            <w:tcW w:type="dxa" w:w="3360"/>
            <w:vAlign w:val="top"/>
          </w:tcPr>
          <w:p>
            <w:pPr>
              <w:spacing w:after="0"/>
            </w:pPr>
            <w:r>
              <w:rPr>
                <w:rFonts w:ascii="Arial" w:hAnsi="Arial"/>
                <w:sz w:val="18"/>
              </w:rPr>
            </w:r>
            <w:r>
              <w:rPr>
                <w:rFonts w:ascii="Arial" w:hAnsi="Arial"/>
                <w:b w:val="0"/>
                <w:sz w:val="18"/>
              </w:rPr>
              <w:t>hold the object</w:t>
            </w:r>
          </w:p>
        </w:tc>
        <w:tc>
          <w:tcPr>
            <w:tcW w:type="dxa" w:w="3360"/>
            <w:vAlign w:val="top"/>
          </w:tcPr>
          <w:p>
            <w:pPr>
              <w:spacing w:after="0"/>
            </w:pPr>
            <w:r>
              <w:rPr>
                <w:rFonts w:ascii="Arial" w:hAnsi="Arial"/>
                <w:sz w:val="18"/>
              </w:rPr>
            </w:r>
            <w:r>
              <w:rPr>
                <w:rFonts w:ascii="Arial" w:hAnsi="Arial"/>
                <w:b w:val="0"/>
                <w:sz w:val="18"/>
              </w:rPr>
              <w:t>keep act, object, person, state, and evidence apart</w:t>
            </w:r>
          </w:p>
        </w:tc>
      </w:tr>
    </w:tbl>
    <w:p>
      <w:pPr>
        <w:spacing w:after="120" w:line="252" w:lineRule="auto"/>
      </w:pPr>
    </w:p>
    <w:p>
      <w:pPr>
        <w:spacing w:after="120" w:line="252" w:lineRule="auto"/>
      </w:pPr>
    </w:p>
    <w:p>
      <w:pPr>
        <w:spacing w:after="120" w:line="252" w:lineRule="auto"/>
      </w:pPr>
      <w:r>
        <w:rPr>
          <w:rFonts w:ascii="Arial" w:hAnsi="Arial"/>
          <w:sz w:val="21"/>
        </w:rPr>
        <w:t>Compact stack lock:</w:t>
      </w:r>
    </w:p>
    <w:p>
      <w:pPr>
        <w:spacing w:after="120" w:line="252" w:lineRule="auto"/>
      </w:pPr>
    </w:p>
    <w:p>
      <w:pPr>
        <w:pStyle w:val="CodeBlock"/>
        <w:spacing w:after="120" w:line="252" w:lineRule="auto"/>
      </w:pPr>
      <w:r>
        <w:rPr>
          <w:rFonts w:ascii="Arial" w:hAnsi="Arial"/>
        </w:rPr>
        <w:t>Object is not act.</w:t>
      </w:r>
    </w:p>
    <w:p>
      <w:pPr>
        <w:pStyle w:val="CodeBlock"/>
        <w:spacing w:after="120" w:line="252" w:lineRule="auto"/>
      </w:pPr>
      <w:r>
        <w:rPr>
          <w:rFonts w:ascii="Arial" w:hAnsi="Arial"/>
        </w:rPr>
        <w:t>Evidence is not person.</w:t>
      </w:r>
    </w:p>
    <w:p>
      <w:pPr>
        <w:pStyle w:val="CodeBlock"/>
        <w:spacing w:after="120" w:line="252" w:lineRule="auto"/>
      </w:pPr>
      <w:r>
        <w:rPr>
          <w:rFonts w:ascii="Arial" w:hAnsi="Arial"/>
        </w:rPr>
        <w:t>State is not offence.</w:t>
      </w:r>
    </w:p>
    <w:p>
      <w:pPr>
        <w:pStyle w:val="CodeBlock"/>
        <w:spacing w:after="120" w:line="252" w:lineRule="auto"/>
      </w:pPr>
      <w:r>
        <w:rPr>
          <w:rFonts w:ascii="Arial" w:hAnsi="Arial"/>
        </w:rPr>
        <w:t>Word is not verdict.</w:t>
      </w:r>
    </w:p>
    <w:p>
      <w:pPr>
        <w:pStyle w:val="CodeBlock"/>
        <w:spacing w:after="120" w:line="252" w:lineRule="auto"/>
      </w:pPr>
      <w:r>
        <w:rPr>
          <w:rFonts w:ascii="Arial" w:hAnsi="Arial"/>
        </w:rPr>
        <w:t>Fragment is not timeline.</w:t>
      </w:r>
    </w:p>
    <w:p>
      <w:pPr>
        <w:spacing w:after="120" w:line="252" w:lineRule="auto"/>
      </w:pPr>
    </w:p>
    <w:p>
      <w:pPr>
        <w:pStyle w:val="Heading1"/>
        <w:spacing w:after="120" w:line="252" w:lineRule="auto"/>
      </w:pPr>
      <w:r>
        <w:rPr>
          <w:rFonts w:ascii="Arial" w:hAnsi="Arial"/>
        </w:rPr>
        <w:t>11. Tests for object custody</w:t>
      </w:r>
    </w:p>
    <w:p>
      <w:pPr>
        <w:spacing w:after="120" w:line="252" w:lineRule="auto"/>
      </w:pPr>
    </w:p>
    <w:p>
      <w:pPr>
        <w:spacing w:after="120" w:line="252" w:lineRule="auto"/>
      </w:pPr>
      <w:r>
        <w:rPr>
          <w:rFonts w:ascii="Arial" w:hAnsi="Arial"/>
          <w:sz w:val="21"/>
        </w:rPr>
        <w:t>This paper proposes five tests.</w:t>
      </w:r>
    </w:p>
    <w:p>
      <w:pPr>
        <w:spacing w:after="120" w:line="252" w:lineRule="auto"/>
      </w:pPr>
    </w:p>
    <w:p>
      <w:pPr>
        <w:pStyle w:val="Heading2"/>
        <w:spacing w:after="120" w:line="252" w:lineRule="auto"/>
      </w:pPr>
      <w:r>
        <w:rPr>
          <w:rFonts w:ascii="Arial" w:hAnsi="Arial"/>
        </w:rPr>
        <w:t>11.1 Floating-object test</w:t>
      </w:r>
    </w:p>
    <w:p>
      <w:pPr>
        <w:spacing w:after="120" w:line="252" w:lineRule="auto"/>
      </w:pPr>
    </w:p>
    <w:p>
      <w:pPr>
        <w:spacing w:after="120" w:line="252" w:lineRule="auto"/>
      </w:pPr>
      <w:r>
        <w:rPr>
          <w:rFonts w:ascii="Arial" w:hAnsi="Arial"/>
          <w:sz w:val="21"/>
        </w:rPr>
        <w:t>If the sentence can be written with no actor, no act, and no relation, it is probably object drift.</w:t>
      </w:r>
    </w:p>
    <w:p>
      <w:pPr>
        <w:spacing w:after="120" w:line="252" w:lineRule="auto"/>
      </w:pPr>
    </w:p>
    <w:p>
      <w:pPr>
        <w:spacing w:after="120" w:line="252" w:lineRule="auto"/>
      </w:pPr>
      <w:r>
        <w:rPr>
          <w:rFonts w:ascii="Arial" w:hAnsi="Arial"/>
          <w:sz w:val="21"/>
        </w:rPr>
        <w:t>Bad form:</w:t>
      </w:r>
    </w:p>
    <w:p>
      <w:pPr>
        <w:spacing w:after="120" w:line="252" w:lineRule="auto"/>
      </w:pPr>
    </w:p>
    <w:p>
      <w:pPr>
        <w:pStyle w:val="CodeBlock"/>
        <w:spacing w:after="120" w:line="252" w:lineRule="auto"/>
      </w:pPr>
      <w:r>
        <w:rPr>
          <w:rFonts w:ascii="Arial" w:hAnsi="Arial"/>
        </w:rPr>
        <w:t>Cannabis is illegal.</w:t>
      </w:r>
    </w:p>
    <w:p>
      <w:pPr>
        <w:spacing w:after="120" w:line="252" w:lineRule="auto"/>
      </w:pPr>
    </w:p>
    <w:p>
      <w:pPr>
        <w:spacing w:after="120" w:line="252" w:lineRule="auto"/>
      </w:pPr>
      <w:r>
        <w:rPr>
          <w:rFonts w:ascii="Arial" w:hAnsi="Arial"/>
          <w:sz w:val="21"/>
        </w:rPr>
        <w:t>Better form:</w:t>
      </w:r>
    </w:p>
    <w:p>
      <w:pPr>
        <w:spacing w:after="120" w:line="252" w:lineRule="auto"/>
      </w:pPr>
    </w:p>
    <w:p>
      <w:pPr>
        <w:pStyle w:val="CodeBlock"/>
        <w:spacing w:after="120" w:line="252" w:lineRule="auto"/>
      </w:pPr>
      <w:r>
        <w:rPr>
          <w:rFonts w:ascii="Arial" w:hAnsi="Arial"/>
        </w:rPr>
        <w:t>Unauthorised possession, supply, production, importation, exportation, or possession with intent to supply cannabis may be an offence.</w:t>
      </w:r>
    </w:p>
    <w:p>
      <w:pPr>
        <w:spacing w:after="120" w:line="252" w:lineRule="auto"/>
      </w:pPr>
    </w:p>
    <w:p>
      <w:pPr>
        <w:pStyle w:val="Heading2"/>
        <w:spacing w:after="120" w:line="252" w:lineRule="auto"/>
      </w:pPr>
      <w:r>
        <w:rPr>
          <w:rFonts w:ascii="Arial" w:hAnsi="Arial"/>
        </w:rPr>
        <w:t>11.2 Role-switch test</w:t>
      </w:r>
    </w:p>
    <w:p>
      <w:pPr>
        <w:spacing w:after="120" w:line="252" w:lineRule="auto"/>
      </w:pPr>
    </w:p>
    <w:p>
      <w:pPr>
        <w:spacing w:after="120" w:line="252" w:lineRule="auto"/>
      </w:pPr>
      <w:r>
        <w:rPr>
          <w:rFonts w:ascii="Arial" w:hAnsi="Arial"/>
          <w:sz w:val="21"/>
        </w:rPr>
        <w:t>Can the same object appear lawfully or differently in another relation? If yes, the object is not the whole offence.</w:t>
      </w:r>
    </w:p>
    <w:p>
      <w:pPr>
        <w:spacing w:after="120" w:line="252" w:lineRule="auto"/>
      </w:pPr>
    </w:p>
    <w:p>
      <w:pPr>
        <w:spacing w:after="120" w:line="252" w:lineRule="auto"/>
      </w:pPr>
      <w:r>
        <w:rPr>
          <w:rFonts w:ascii="Arial" w:hAnsi="Arial"/>
          <w:sz w:val="21"/>
        </w:rPr>
        <w:t>Example:</w:t>
      </w:r>
    </w:p>
    <w:p>
      <w:pPr>
        <w:spacing w:after="120" w:line="252" w:lineRule="auto"/>
      </w:pPr>
    </w:p>
    <w:p>
      <w:pPr>
        <w:pStyle w:val="CodeBlock"/>
        <w:spacing w:after="120" w:line="252" w:lineRule="auto"/>
      </w:pPr>
      <w:r>
        <w:rPr>
          <w:rFonts w:ascii="Arial" w:hAnsi="Arial"/>
        </w:rPr>
        <w:t>A controlled drug in a medical, research, forensic, disposal, or authorised supply relation may not occupy the same legal position as unauthorised possession or supply.</w:t>
      </w:r>
    </w:p>
    <w:p>
      <w:pPr>
        <w:spacing w:after="120" w:line="252" w:lineRule="auto"/>
      </w:pPr>
    </w:p>
    <w:p>
      <w:pPr>
        <w:pStyle w:val="Heading2"/>
        <w:spacing w:after="120" w:line="252" w:lineRule="auto"/>
      </w:pPr>
      <w:r>
        <w:rPr>
          <w:rFonts w:ascii="Arial" w:hAnsi="Arial"/>
        </w:rPr>
        <w:t>11.3 Surrounding-act test</w:t>
      </w:r>
    </w:p>
    <w:p>
      <w:pPr>
        <w:spacing w:after="120" w:line="252" w:lineRule="auto"/>
      </w:pPr>
    </w:p>
    <w:p>
      <w:pPr>
        <w:spacing w:after="120" w:line="252" w:lineRule="auto"/>
      </w:pPr>
      <w:r>
        <w:rPr>
          <w:rFonts w:ascii="Arial" w:hAnsi="Arial"/>
          <w:sz w:val="21"/>
        </w:rPr>
        <w:t>If there is no named offence matching the public phrase, what surrounding acts does law actually reach?</w:t>
      </w:r>
    </w:p>
    <w:p>
      <w:pPr>
        <w:spacing w:after="120" w:line="252" w:lineRule="auto"/>
      </w:pPr>
    </w:p>
    <w:p>
      <w:pPr>
        <w:spacing w:after="120" w:line="252" w:lineRule="auto"/>
      </w:pPr>
      <w:r>
        <w:rPr>
          <w:rFonts w:ascii="Arial" w:hAnsi="Arial"/>
          <w:sz w:val="21"/>
        </w:rPr>
        <w:t>Example:</w:t>
      </w:r>
    </w:p>
    <w:p>
      <w:pPr>
        <w:spacing w:after="120" w:line="252" w:lineRule="auto"/>
      </w:pPr>
    </w:p>
    <w:p>
      <w:pPr>
        <w:pStyle w:val="CodeBlock"/>
        <w:spacing w:after="120" w:line="252" w:lineRule="auto"/>
      </w:pPr>
      <w:r>
        <w:rPr>
          <w:rFonts w:ascii="Arial" w:hAnsi="Arial"/>
        </w:rPr>
        <w:t>Cannibalism may not be a single named offence, but homicide, body handling, concealment, preventing lawful burial, outraging public decency, and Human Tissue Act duties may matter.</w:t>
      </w:r>
    </w:p>
    <w:p>
      <w:pPr>
        <w:spacing w:after="120" w:line="252" w:lineRule="auto"/>
      </w:pPr>
    </w:p>
    <w:p>
      <w:pPr>
        <w:pStyle w:val="Heading2"/>
        <w:spacing w:after="120" w:line="252" w:lineRule="auto"/>
      </w:pPr>
      <w:r>
        <w:rPr>
          <w:rFonts w:ascii="Arial" w:hAnsi="Arial"/>
        </w:rPr>
        <w:t>11.4 Tool-layer test</w:t>
      </w:r>
    </w:p>
    <w:p>
      <w:pPr>
        <w:spacing w:after="120" w:line="252" w:lineRule="auto"/>
      </w:pPr>
    </w:p>
    <w:p>
      <w:pPr>
        <w:spacing w:after="120" w:line="252" w:lineRule="auto"/>
      </w:pPr>
      <w:r>
        <w:rPr>
          <w:rFonts w:ascii="Arial" w:hAnsi="Arial"/>
          <w:sz w:val="21"/>
        </w:rPr>
        <w:t>If the object is a tool or model, which layer carries responsibility?</w:t>
      </w:r>
    </w:p>
    <w:p>
      <w:pPr>
        <w:spacing w:after="120" w:line="252" w:lineRule="auto"/>
      </w:pPr>
    </w:p>
    <w:p>
      <w:pPr>
        <w:spacing w:after="120" w:line="252" w:lineRule="auto"/>
      </w:pPr>
      <w:r>
        <w:rPr>
          <w:rFonts w:ascii="Arial" w:hAnsi="Arial"/>
          <w:sz w:val="21"/>
        </w:rPr>
        <w:t>Example:</w:t>
      </w:r>
    </w:p>
    <w:p>
      <w:pPr>
        <w:spacing w:after="120" w:line="252" w:lineRule="auto"/>
      </w:pPr>
    </w:p>
    <w:p>
      <w:pPr>
        <w:pStyle w:val="CodeBlock"/>
        <w:spacing w:after="120" w:line="252" w:lineRule="auto"/>
      </w:pPr>
      <w:r>
        <w:rPr>
          <w:rFonts w:ascii="Arial" w:hAnsi="Arial"/>
        </w:rPr>
        <w:t>AI may be a model, service, prompt, generated file, deployment decision, moderation failure, or distribution system. A real legal analysis must bind the layer.</w:t>
      </w:r>
    </w:p>
    <w:p>
      <w:pPr>
        <w:spacing w:after="120" w:line="252" w:lineRule="auto"/>
      </w:pPr>
    </w:p>
    <w:p>
      <w:pPr>
        <w:pStyle w:val="Heading2"/>
        <w:spacing w:after="120" w:line="252" w:lineRule="auto"/>
      </w:pPr>
      <w:r>
        <w:rPr>
          <w:rFonts w:ascii="Arial" w:hAnsi="Arial"/>
        </w:rPr>
        <w:t>11.5 State-act test</w:t>
      </w:r>
    </w:p>
    <w:p>
      <w:pPr>
        <w:spacing w:after="120" w:line="252" w:lineRule="auto"/>
      </w:pPr>
    </w:p>
    <w:p>
      <w:pPr>
        <w:spacing w:after="120" w:line="252" w:lineRule="auto"/>
      </w:pPr>
      <w:r>
        <w:rPr>
          <w:rFonts w:ascii="Arial" w:hAnsi="Arial"/>
          <w:sz w:val="21"/>
        </w:rPr>
        <w:t>If the object is a state, what act or duty is being asserted?</w:t>
      </w:r>
    </w:p>
    <w:p>
      <w:pPr>
        <w:spacing w:after="120" w:line="252" w:lineRule="auto"/>
      </w:pPr>
    </w:p>
    <w:p>
      <w:pPr>
        <w:spacing w:after="120" w:line="252" w:lineRule="auto"/>
      </w:pPr>
      <w:r>
        <w:rPr>
          <w:rFonts w:ascii="Arial" w:hAnsi="Arial"/>
          <w:sz w:val="21"/>
        </w:rPr>
        <w:t>Example:</w:t>
      </w:r>
    </w:p>
    <w:p>
      <w:pPr>
        <w:spacing w:after="120" w:line="252" w:lineRule="auto"/>
      </w:pPr>
    </w:p>
    <w:p>
      <w:pPr>
        <w:pStyle w:val="CodeBlock"/>
        <w:spacing w:after="120" w:line="252" w:lineRule="auto"/>
      </w:pPr>
      <w:r>
        <w:rPr>
          <w:rFonts w:ascii="Arial" w:hAnsi="Arial"/>
        </w:rPr>
        <w:t>Psychosis may be relevant to evidence, care, risk, capacity, or safeguarding. It is not itself a criminal act.</w:t>
      </w:r>
    </w:p>
    <w:p>
      <w:pPr>
        <w:spacing w:after="120" w:line="252" w:lineRule="auto"/>
      </w:pPr>
    </w:p>
    <w:p>
      <w:pPr>
        <w:pStyle w:val="Heading1"/>
        <w:spacing w:after="120" w:line="252" w:lineRule="auto"/>
      </w:pPr>
      <w:r>
        <w:rPr>
          <w:rFonts w:ascii="Arial" w:hAnsi="Arial"/>
        </w:rPr>
        <w:t>12. Public legal checklist</w:t>
      </w:r>
    </w:p>
    <w:p>
      <w:pPr>
        <w:spacing w:after="120" w:line="252" w:lineRule="auto"/>
      </w:pPr>
    </w:p>
    <w:p>
      <w:pPr>
        <w:spacing w:after="120" w:line="252" w:lineRule="auto"/>
      </w:pPr>
      <w:r>
        <w:rPr>
          <w:rFonts w:ascii="Arial" w:hAnsi="Arial"/>
          <w:sz w:val="21"/>
        </w:rPr>
        <w:t>Before naming an object illegal or harmful, bind the following:</w:t>
      </w:r>
    </w:p>
    <w:p>
      <w:pPr>
        <w:spacing w:after="120" w:line="252" w:lineRule="auto"/>
      </w:pP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pPr>
              <w:spacing w:after="0"/>
            </w:pPr>
            <w:r>
              <w:rPr>
                <w:rFonts w:ascii="Arial" w:hAnsi="Arial"/>
                <w:sz w:val="18"/>
              </w:rPr>
            </w:r>
            <w:r>
              <w:rPr>
                <w:rFonts w:ascii="Arial" w:hAnsi="Arial"/>
                <w:b/>
                <w:sz w:val="18"/>
              </w:rPr>
              <w:t>Question</w:t>
            </w:r>
          </w:p>
        </w:tc>
        <w:tc>
          <w:tcPr>
            <w:tcW w:type="dxa" w:w="5040"/>
            <w:vAlign w:val="top"/>
            <w:shd w:fill="EDEDED"/>
          </w:tcPr>
          <w:p>
            <w:pPr>
              <w:spacing w:after="0"/>
            </w:pPr>
            <w:r>
              <w:rPr>
                <w:rFonts w:ascii="Arial" w:hAnsi="Arial"/>
                <w:sz w:val="18"/>
              </w:rPr>
            </w:r>
            <w:r>
              <w:rPr>
                <w:rFonts w:ascii="Arial" w:hAnsi="Arial"/>
                <w:b/>
                <w:sz w:val="18"/>
              </w:rPr>
              <w:t>Custody function</w:t>
            </w:r>
          </w:p>
        </w:tc>
      </w:tr>
      <w:tr>
        <w:tc>
          <w:tcPr>
            <w:tcW w:type="dxa" w:w="5040"/>
            <w:vAlign w:val="top"/>
          </w:tcPr>
          <w:p>
            <w:pPr>
              <w:spacing w:after="0"/>
            </w:pPr>
            <w:r>
              <w:rPr>
                <w:rFonts w:ascii="Arial" w:hAnsi="Arial"/>
                <w:sz w:val="18"/>
              </w:rPr>
            </w:r>
            <w:r>
              <w:rPr>
                <w:rFonts w:ascii="Arial" w:hAnsi="Arial"/>
                <w:b w:val="0"/>
                <w:sz w:val="18"/>
              </w:rPr>
              <w:t>Who is the actor?</w:t>
            </w:r>
          </w:p>
        </w:tc>
        <w:tc>
          <w:tcPr>
            <w:tcW w:type="dxa" w:w="5040"/>
            <w:vAlign w:val="top"/>
          </w:tcPr>
          <w:p>
            <w:pPr>
              <w:spacing w:after="0"/>
            </w:pPr>
            <w:r>
              <w:rPr>
                <w:rFonts w:ascii="Arial" w:hAnsi="Arial"/>
                <w:sz w:val="18"/>
              </w:rPr>
            </w:r>
            <w:r>
              <w:rPr>
                <w:rFonts w:ascii="Arial" w:hAnsi="Arial"/>
                <w:b w:val="0"/>
                <w:sz w:val="18"/>
              </w:rPr>
              <w:t>prevents object-only blame</w:t>
            </w:r>
          </w:p>
        </w:tc>
      </w:tr>
      <w:tr>
        <w:tc>
          <w:tcPr>
            <w:tcW w:type="dxa" w:w="5040"/>
            <w:vAlign w:val="top"/>
          </w:tcPr>
          <w:p>
            <w:pPr>
              <w:spacing w:after="0"/>
            </w:pPr>
            <w:r>
              <w:rPr>
                <w:rFonts w:ascii="Arial" w:hAnsi="Arial"/>
                <w:sz w:val="18"/>
              </w:rPr>
            </w:r>
            <w:r>
              <w:rPr>
                <w:rFonts w:ascii="Arial" w:hAnsi="Arial"/>
                <w:b w:val="0"/>
                <w:sz w:val="18"/>
              </w:rPr>
              <w:t>What act or omission occurred?</w:t>
            </w:r>
          </w:p>
        </w:tc>
        <w:tc>
          <w:tcPr>
            <w:tcW w:type="dxa" w:w="5040"/>
            <w:vAlign w:val="top"/>
          </w:tcPr>
          <w:p>
            <w:pPr>
              <w:spacing w:after="0"/>
            </w:pPr>
            <w:r>
              <w:rPr>
                <w:rFonts w:ascii="Arial" w:hAnsi="Arial"/>
                <w:sz w:val="18"/>
              </w:rPr>
            </w:r>
            <w:r>
              <w:rPr>
                <w:rFonts w:ascii="Arial" w:hAnsi="Arial"/>
                <w:b w:val="0"/>
                <w:sz w:val="18"/>
              </w:rPr>
              <w:t>binds conduct</w:t>
            </w:r>
          </w:p>
        </w:tc>
      </w:tr>
      <w:tr>
        <w:tc>
          <w:tcPr>
            <w:tcW w:type="dxa" w:w="5040"/>
            <w:vAlign w:val="top"/>
          </w:tcPr>
          <w:p>
            <w:pPr>
              <w:spacing w:after="0"/>
            </w:pPr>
            <w:r>
              <w:rPr>
                <w:rFonts w:ascii="Arial" w:hAnsi="Arial"/>
                <w:sz w:val="18"/>
              </w:rPr>
            </w:r>
            <w:r>
              <w:rPr>
                <w:rFonts w:ascii="Arial" w:hAnsi="Arial"/>
                <w:b w:val="0"/>
                <w:sz w:val="18"/>
              </w:rPr>
              <w:t>What object was involved?</w:t>
            </w:r>
          </w:p>
        </w:tc>
        <w:tc>
          <w:tcPr>
            <w:tcW w:type="dxa" w:w="5040"/>
            <w:vAlign w:val="top"/>
          </w:tcPr>
          <w:p>
            <w:pPr>
              <w:spacing w:after="0"/>
            </w:pPr>
            <w:r>
              <w:rPr>
                <w:rFonts w:ascii="Arial" w:hAnsi="Arial"/>
                <w:sz w:val="18"/>
              </w:rPr>
            </w:r>
            <w:r>
              <w:rPr>
                <w:rFonts w:ascii="Arial" w:hAnsi="Arial"/>
                <w:b w:val="0"/>
                <w:sz w:val="18"/>
              </w:rPr>
              <w:t>keeps the thing visible without making it the whole case</w:t>
            </w:r>
          </w:p>
        </w:tc>
      </w:tr>
      <w:tr>
        <w:tc>
          <w:tcPr>
            <w:tcW w:type="dxa" w:w="5040"/>
            <w:vAlign w:val="top"/>
          </w:tcPr>
          <w:p>
            <w:pPr>
              <w:spacing w:after="0"/>
            </w:pPr>
            <w:r>
              <w:rPr>
                <w:rFonts w:ascii="Arial" w:hAnsi="Arial"/>
                <w:sz w:val="18"/>
              </w:rPr>
            </w:r>
            <w:r>
              <w:rPr>
                <w:rFonts w:ascii="Arial" w:hAnsi="Arial"/>
                <w:b w:val="0"/>
                <w:sz w:val="18"/>
              </w:rPr>
              <w:t>What relation gives legal force?</w:t>
            </w:r>
          </w:p>
        </w:tc>
        <w:tc>
          <w:tcPr>
            <w:tcW w:type="dxa" w:w="5040"/>
            <w:vAlign w:val="top"/>
          </w:tcPr>
          <w:p>
            <w:pPr>
              <w:spacing w:after="0"/>
            </w:pPr>
            <w:r>
              <w:rPr>
                <w:rFonts w:ascii="Arial" w:hAnsi="Arial"/>
                <w:sz w:val="18"/>
              </w:rPr>
            </w:r>
            <w:r>
              <w:rPr>
                <w:rFonts w:ascii="Arial" w:hAnsi="Arial"/>
                <w:b w:val="0"/>
                <w:sz w:val="18"/>
              </w:rPr>
              <w:t>possession, supply, request, creation, distribution, consent, duty</w:t>
            </w:r>
          </w:p>
        </w:tc>
      </w:tr>
      <w:tr>
        <w:tc>
          <w:tcPr>
            <w:tcW w:type="dxa" w:w="5040"/>
            <w:vAlign w:val="top"/>
          </w:tcPr>
          <w:p>
            <w:pPr>
              <w:spacing w:after="0"/>
            </w:pPr>
            <w:r>
              <w:rPr>
                <w:rFonts w:ascii="Arial" w:hAnsi="Arial"/>
                <w:sz w:val="18"/>
              </w:rPr>
            </w:r>
            <w:r>
              <w:rPr>
                <w:rFonts w:ascii="Arial" w:hAnsi="Arial"/>
                <w:b w:val="0"/>
                <w:sz w:val="18"/>
              </w:rPr>
              <w:t>What authority or authorisation exists?</w:t>
            </w:r>
          </w:p>
        </w:tc>
        <w:tc>
          <w:tcPr>
            <w:tcW w:type="dxa" w:w="5040"/>
            <w:vAlign w:val="top"/>
          </w:tcPr>
          <w:p>
            <w:pPr>
              <w:spacing w:after="0"/>
            </w:pPr>
            <w:r>
              <w:rPr>
                <w:rFonts w:ascii="Arial" w:hAnsi="Arial"/>
                <w:sz w:val="18"/>
              </w:rPr>
            </w:r>
            <w:r>
              <w:rPr>
                <w:rFonts w:ascii="Arial" w:hAnsi="Arial"/>
                <w:b w:val="0"/>
                <w:sz w:val="18"/>
              </w:rPr>
              <w:t>separates lawful routes from unlawful routes</w:t>
            </w:r>
          </w:p>
        </w:tc>
      </w:tr>
      <w:tr>
        <w:tc>
          <w:tcPr>
            <w:tcW w:type="dxa" w:w="5040"/>
            <w:vAlign w:val="top"/>
          </w:tcPr>
          <w:p>
            <w:pPr>
              <w:spacing w:after="0"/>
            </w:pPr>
            <w:r>
              <w:rPr>
                <w:rFonts w:ascii="Arial" w:hAnsi="Arial"/>
                <w:sz w:val="18"/>
              </w:rPr>
            </w:r>
            <w:r>
              <w:rPr>
                <w:rFonts w:ascii="Arial" w:hAnsi="Arial"/>
                <w:b w:val="0"/>
                <w:sz w:val="18"/>
              </w:rPr>
              <w:t>What consent is present or absent?</w:t>
            </w:r>
          </w:p>
        </w:tc>
        <w:tc>
          <w:tcPr>
            <w:tcW w:type="dxa" w:w="5040"/>
            <w:vAlign w:val="top"/>
          </w:tcPr>
          <w:p>
            <w:pPr>
              <w:spacing w:after="0"/>
            </w:pPr>
            <w:r>
              <w:rPr>
                <w:rFonts w:ascii="Arial" w:hAnsi="Arial"/>
                <w:sz w:val="18"/>
              </w:rPr>
            </w:r>
            <w:r>
              <w:rPr>
                <w:rFonts w:ascii="Arial" w:hAnsi="Arial"/>
                <w:b w:val="0"/>
                <w:sz w:val="18"/>
              </w:rPr>
              <w:t>binds victim and subject relations</w:t>
            </w:r>
          </w:p>
        </w:tc>
      </w:tr>
      <w:tr>
        <w:tc>
          <w:tcPr>
            <w:tcW w:type="dxa" w:w="5040"/>
            <w:vAlign w:val="top"/>
          </w:tcPr>
          <w:p>
            <w:pPr>
              <w:spacing w:after="0"/>
            </w:pPr>
            <w:r>
              <w:rPr>
                <w:rFonts w:ascii="Arial" w:hAnsi="Arial"/>
                <w:sz w:val="18"/>
              </w:rPr>
            </w:r>
            <w:r>
              <w:rPr>
                <w:rFonts w:ascii="Arial" w:hAnsi="Arial"/>
                <w:b w:val="0"/>
                <w:sz w:val="18"/>
              </w:rPr>
              <w:t>Who is harmed or protected?</w:t>
            </w:r>
          </w:p>
        </w:tc>
        <w:tc>
          <w:tcPr>
            <w:tcW w:type="dxa" w:w="5040"/>
            <w:vAlign w:val="top"/>
          </w:tcPr>
          <w:p>
            <w:pPr>
              <w:spacing w:after="0"/>
            </w:pPr>
            <w:r>
              <w:rPr>
                <w:rFonts w:ascii="Arial" w:hAnsi="Arial"/>
                <w:sz w:val="18"/>
              </w:rPr>
            </w:r>
            <w:r>
              <w:rPr>
                <w:rFonts w:ascii="Arial" w:hAnsi="Arial"/>
                <w:b w:val="0"/>
                <w:sz w:val="18"/>
              </w:rPr>
              <w:t>identifies the protected interest</w:t>
            </w:r>
          </w:p>
        </w:tc>
      </w:tr>
      <w:tr>
        <w:tc>
          <w:tcPr>
            <w:tcW w:type="dxa" w:w="5040"/>
            <w:vAlign w:val="top"/>
          </w:tcPr>
          <w:p>
            <w:pPr>
              <w:spacing w:after="0"/>
            </w:pPr>
            <w:r>
              <w:rPr>
                <w:rFonts w:ascii="Arial" w:hAnsi="Arial"/>
                <w:sz w:val="18"/>
              </w:rPr>
            </w:r>
            <w:r>
              <w:rPr>
                <w:rFonts w:ascii="Arial" w:hAnsi="Arial"/>
                <w:b w:val="0"/>
                <w:sz w:val="18"/>
              </w:rPr>
              <w:t>What rule applies?</w:t>
            </w:r>
          </w:p>
        </w:tc>
        <w:tc>
          <w:tcPr>
            <w:tcW w:type="dxa" w:w="5040"/>
            <w:vAlign w:val="top"/>
          </w:tcPr>
          <w:p>
            <w:pPr>
              <w:spacing w:after="0"/>
            </w:pPr>
            <w:r>
              <w:rPr>
                <w:rFonts w:ascii="Arial" w:hAnsi="Arial"/>
                <w:sz w:val="18"/>
              </w:rPr>
            </w:r>
            <w:r>
              <w:rPr>
                <w:rFonts w:ascii="Arial" w:hAnsi="Arial"/>
                <w:b w:val="0"/>
                <w:sz w:val="18"/>
              </w:rPr>
              <w:t>source-binds the claim</w:t>
            </w:r>
          </w:p>
        </w:tc>
      </w:tr>
      <w:tr>
        <w:tc>
          <w:tcPr>
            <w:tcW w:type="dxa" w:w="5040"/>
            <w:vAlign w:val="top"/>
          </w:tcPr>
          <w:p>
            <w:pPr>
              <w:spacing w:after="0"/>
            </w:pPr>
            <w:r>
              <w:rPr>
                <w:rFonts w:ascii="Arial" w:hAnsi="Arial"/>
                <w:sz w:val="18"/>
              </w:rPr>
            </w:r>
            <w:r>
              <w:rPr>
                <w:rFonts w:ascii="Arial" w:hAnsi="Arial"/>
                <w:b w:val="0"/>
                <w:sz w:val="18"/>
              </w:rPr>
              <w:t>What evidence supports it?</w:t>
            </w:r>
          </w:p>
        </w:tc>
        <w:tc>
          <w:tcPr>
            <w:tcW w:type="dxa" w:w="5040"/>
            <w:vAlign w:val="top"/>
          </w:tcPr>
          <w:p>
            <w:pPr>
              <w:spacing w:after="0"/>
            </w:pPr>
            <w:r>
              <w:rPr>
                <w:rFonts w:ascii="Arial" w:hAnsi="Arial"/>
                <w:sz w:val="18"/>
              </w:rPr>
            </w:r>
            <w:r>
              <w:rPr>
                <w:rFonts w:ascii="Arial" w:hAnsi="Arial"/>
                <w:b w:val="0"/>
                <w:sz w:val="18"/>
              </w:rPr>
              <w:t>prevents panic from acting as proof</w:t>
            </w:r>
          </w:p>
        </w:tc>
      </w:tr>
      <w:tr>
        <w:tc>
          <w:tcPr>
            <w:tcW w:type="dxa" w:w="5040"/>
            <w:vAlign w:val="top"/>
          </w:tcPr>
          <w:p>
            <w:pPr>
              <w:spacing w:after="0"/>
            </w:pPr>
            <w:r>
              <w:rPr>
                <w:rFonts w:ascii="Arial" w:hAnsi="Arial"/>
                <w:sz w:val="18"/>
              </w:rPr>
            </w:r>
            <w:r>
              <w:rPr>
                <w:rFonts w:ascii="Arial" w:hAnsi="Arial"/>
                <w:b w:val="0"/>
                <w:sz w:val="18"/>
              </w:rPr>
              <w:t>What claim must not be made yet?</w:t>
            </w:r>
          </w:p>
        </w:tc>
        <w:tc>
          <w:tcPr>
            <w:tcW w:type="dxa" w:w="5040"/>
            <w:vAlign w:val="top"/>
          </w:tcPr>
          <w:p>
            <w:pPr>
              <w:spacing w:after="0"/>
            </w:pPr>
            <w:r>
              <w:rPr>
                <w:rFonts w:ascii="Arial" w:hAnsi="Arial"/>
                <w:sz w:val="18"/>
              </w:rPr>
            </w:r>
            <w:r>
              <w:rPr>
                <w:rFonts w:ascii="Arial" w:hAnsi="Arial"/>
                <w:b w:val="0"/>
                <w:sz w:val="18"/>
              </w:rPr>
              <w:t>blocks overreach</w:t>
            </w:r>
          </w:p>
        </w:tc>
      </w:tr>
    </w:tbl>
    <w:p>
      <w:pPr>
        <w:spacing w:after="120" w:line="252" w:lineRule="auto"/>
      </w:pPr>
    </w:p>
    <w:p>
      <w:pPr>
        <w:spacing w:after="120" w:line="252" w:lineRule="auto"/>
      </w:pPr>
    </w:p>
    <w:p>
      <w:pPr>
        <w:pStyle w:val="Heading1"/>
        <w:spacing w:after="120" w:line="252" w:lineRule="auto"/>
      </w:pPr>
      <w:r>
        <w:rPr>
          <w:rFonts w:ascii="Arial" w:hAnsi="Arial"/>
        </w:rPr>
        <w:t>13. Good Bad Reader fence</w:t>
      </w:r>
    </w:p>
    <w:p>
      <w:pPr>
        <w:spacing w:after="120" w:line="252" w:lineRule="auto"/>
      </w:pPr>
    </w:p>
    <w:p>
      <w:pPr>
        <w:spacing w:after="120" w:line="252" w:lineRule="auto"/>
      </w:pPr>
      <w:r>
        <w:rPr>
          <w:rFonts w:ascii="Arial" w:hAnsi="Arial"/>
          <w:sz w:val="21"/>
        </w:rPr>
        <w:t>The Good Bad Reader will try to read this paper as:</w:t>
      </w:r>
    </w:p>
    <w:p>
      <w:pPr>
        <w:spacing w:after="120" w:line="252" w:lineRule="auto"/>
      </w:pPr>
    </w:p>
    <w:p>
      <w:pPr>
        <w:pStyle w:val="CodeBlock"/>
        <w:spacing w:after="120" w:line="252" w:lineRule="auto"/>
      </w:pPr>
      <w:r>
        <w:rPr>
          <w:rFonts w:ascii="Arial" w:hAnsi="Arial"/>
        </w:rPr>
        <w:t>nothing is illegal</w:t>
      </w:r>
    </w:p>
    <w:p>
      <w:pPr>
        <w:pStyle w:val="CodeBlock"/>
        <w:spacing w:after="120" w:line="252" w:lineRule="auto"/>
      </w:pPr>
      <w:r>
        <w:rPr>
          <w:rFonts w:ascii="Arial" w:hAnsi="Arial"/>
        </w:rPr>
        <w:t>objects never matter</w:t>
      </w:r>
    </w:p>
    <w:p>
      <w:pPr>
        <w:pStyle w:val="CodeBlock"/>
        <w:spacing w:after="120" w:line="252" w:lineRule="auto"/>
      </w:pPr>
      <w:r>
        <w:rPr>
          <w:rFonts w:ascii="Arial" w:hAnsi="Arial"/>
        </w:rPr>
        <w:t>law only cares about acts</w:t>
      </w:r>
    </w:p>
    <w:p>
      <w:pPr>
        <w:pStyle w:val="CodeBlock"/>
        <w:spacing w:after="120" w:line="252" w:lineRule="auto"/>
      </w:pPr>
      <w:r>
        <w:rPr>
          <w:rFonts w:ascii="Arial" w:hAnsi="Arial"/>
        </w:rPr>
        <w:t>this is a loophole manual</w:t>
      </w:r>
    </w:p>
    <w:p>
      <w:pPr>
        <w:spacing w:after="120" w:line="252" w:lineRule="auto"/>
      </w:pPr>
    </w:p>
    <w:p>
      <w:pPr>
        <w:spacing w:after="120" w:line="252" w:lineRule="auto"/>
      </w:pPr>
      <w:r>
        <w:rPr>
          <w:rFonts w:ascii="Arial" w:hAnsi="Arial"/>
          <w:sz w:val="21"/>
        </w:rPr>
        <w:t>That is not the paper.</w:t>
      </w:r>
    </w:p>
    <w:p>
      <w:pPr>
        <w:spacing w:after="120" w:line="252" w:lineRule="auto"/>
      </w:pPr>
    </w:p>
    <w:p>
      <w:pPr>
        <w:spacing w:after="120" w:line="252" w:lineRule="auto"/>
      </w:pPr>
      <w:r>
        <w:rPr>
          <w:rFonts w:ascii="Arial" w:hAnsi="Arial"/>
          <w:sz w:val="21"/>
        </w:rPr>
        <w:t>The fence is:</w:t>
      </w:r>
    </w:p>
    <w:p>
      <w:pPr>
        <w:spacing w:after="120" w:line="252" w:lineRule="auto"/>
      </w:pPr>
    </w:p>
    <w:p>
      <w:pPr>
        <w:pStyle w:val="CodeBlock"/>
        <w:spacing w:after="120" w:line="252" w:lineRule="auto"/>
      </w:pPr>
      <w:r>
        <w:rPr>
          <w:rFonts w:ascii="Arial" w:hAnsi="Arial"/>
        </w:rPr>
        <w:t>This paper does not say objects are irrelevant.</w:t>
      </w:r>
    </w:p>
    <w:p>
      <w:pPr>
        <w:pStyle w:val="CodeBlock"/>
        <w:spacing w:after="120" w:line="252" w:lineRule="auto"/>
      </w:pPr>
      <w:r>
        <w:rPr>
          <w:rFonts w:ascii="Arial" w:hAnsi="Arial"/>
        </w:rPr>
        <w:t>It says legal and public speech must bind the act, relation, and rule before treating an object as the offence.</w:t>
      </w:r>
    </w:p>
    <w:p>
      <w:pPr>
        <w:spacing w:after="120" w:line="252" w:lineRule="auto"/>
      </w:pPr>
    </w:p>
    <w:p>
      <w:pPr>
        <w:spacing w:after="120" w:line="252" w:lineRule="auto"/>
      </w:pPr>
      <w:r>
        <w:rPr>
          <w:rFonts w:ascii="Arial" w:hAnsi="Arial"/>
          <w:sz w:val="21"/>
        </w:rPr>
        <w:t>A thing has not been tried because a public sentence learned to sound afraid of it.</w:t>
      </w:r>
    </w:p>
    <w:p>
      <w:pPr>
        <w:spacing w:after="120" w:line="252" w:lineRule="auto"/>
      </w:pPr>
    </w:p>
    <w:p>
      <w:pPr>
        <w:pStyle w:val="Heading1"/>
        <w:spacing w:after="120" w:line="252" w:lineRule="auto"/>
      </w:pPr>
      <w:r>
        <w:rPr>
          <w:rFonts w:ascii="Arial" w:hAnsi="Arial"/>
        </w:rPr>
        <w:t>14. Public benefit of the distinction</w:t>
      </w:r>
    </w:p>
    <w:p>
      <w:pPr>
        <w:spacing w:after="120" w:line="252" w:lineRule="auto"/>
      </w:pPr>
    </w:p>
    <w:p>
      <w:pPr>
        <w:spacing w:after="120" w:line="252" w:lineRule="auto"/>
      </w:pPr>
      <w:r>
        <w:rPr>
          <w:rFonts w:ascii="Arial" w:hAnsi="Arial"/>
          <w:sz w:val="21"/>
        </w:rPr>
        <w:t>The act-object distinction is not only useful for lawyers. It improves public discourse.</w:t>
      </w:r>
    </w:p>
    <w:p>
      <w:pPr>
        <w:spacing w:after="120" w:line="252" w:lineRule="auto"/>
      </w:pPr>
    </w:p>
    <w:p>
      <w:pPr>
        <w:spacing w:after="120" w:line="252" w:lineRule="auto"/>
      </w:pPr>
      <w:r>
        <w:rPr>
          <w:rFonts w:ascii="Arial" w:hAnsi="Arial"/>
          <w:sz w:val="21"/>
        </w:rPr>
        <w:t>It stops people saying "heroin is illegal" when they mean unauthorised possession or supply. It stops people saying "cannibalism is legal" as if the surrounding acts are harmless. It stops people saying "AI is harm" when they mean non-consensual image creation, child sexual abuse material generation, fraud, intimidation, platform failure, or reckless deployment. It stops people saying "psychosis is danger" when they mean a specific act, risk, context, or duty.</w:t>
      </w:r>
    </w:p>
    <w:p>
      <w:pPr>
        <w:spacing w:after="120" w:line="252" w:lineRule="auto"/>
      </w:pPr>
    </w:p>
    <w:p>
      <w:pPr>
        <w:spacing w:after="120" w:line="252" w:lineRule="auto"/>
      </w:pPr>
      <w:r>
        <w:rPr>
          <w:rFonts w:ascii="Arial" w:hAnsi="Arial"/>
          <w:sz w:val="21"/>
        </w:rPr>
        <w:t>The distinction also makes bad arguments easier to spot.</w:t>
      </w:r>
    </w:p>
    <w:p>
      <w:pPr>
        <w:spacing w:after="120" w:line="252" w:lineRule="auto"/>
      </w:pPr>
    </w:p>
    <w:p>
      <w:pPr>
        <w:spacing w:after="120" w:line="252" w:lineRule="auto"/>
      </w:pPr>
      <w:r>
        <w:rPr>
          <w:rFonts w:ascii="Arial" w:hAnsi="Arial"/>
          <w:sz w:val="21"/>
        </w:rPr>
        <w:t>If a speaker refuses to name the act, they may be trying to move blame from conduct to object. If a law or policy uses an object-word but punishes an act, we should say so. If a public panic treats a thing as criminal before any act is named, we should slow the sentence down until responsibility returns.</w:t>
      </w:r>
    </w:p>
    <w:p>
      <w:pPr>
        <w:spacing w:after="120" w:line="252" w:lineRule="auto"/>
      </w:pPr>
    </w:p>
    <w:p>
      <w:pPr>
        <w:pStyle w:val="Heading1"/>
        <w:spacing w:after="120" w:line="252" w:lineRule="auto"/>
      </w:pPr>
      <w:r>
        <w:rPr>
          <w:rFonts w:ascii="Arial" w:hAnsi="Arial"/>
        </w:rPr>
        <w:t>15. Conclusion</w:t>
      </w:r>
    </w:p>
    <w:p>
      <w:pPr>
        <w:spacing w:after="120" w:line="252" w:lineRule="auto"/>
      </w:pPr>
    </w:p>
    <w:p>
      <w:pPr>
        <w:spacing w:after="120" w:line="252" w:lineRule="auto"/>
      </w:pPr>
      <w:r>
        <w:rPr>
          <w:rFonts w:ascii="Arial" w:hAnsi="Arial"/>
          <w:sz w:val="21"/>
        </w:rPr>
        <w:t>Act Is Not Object is a small rule with large uses.</w:t>
      </w:r>
    </w:p>
    <w:p>
      <w:pPr>
        <w:spacing w:after="120" w:line="252" w:lineRule="auto"/>
      </w:pPr>
    </w:p>
    <w:p>
      <w:pPr>
        <w:pStyle w:val="CodeBlock"/>
        <w:spacing w:after="120" w:line="252" w:lineRule="auto"/>
      </w:pPr>
      <w:r>
        <w:rPr>
          <w:rFonts w:ascii="Arial" w:hAnsi="Arial"/>
        </w:rPr>
        <w:t>a drug is not a defendant</w:t>
      </w:r>
    </w:p>
    <w:p>
      <w:pPr>
        <w:pStyle w:val="CodeBlock"/>
        <w:spacing w:after="120" w:line="252" w:lineRule="auto"/>
      </w:pPr>
      <w:r>
        <w:rPr>
          <w:rFonts w:ascii="Arial" w:hAnsi="Arial"/>
        </w:rPr>
        <w:t>a file is not a whole offence</w:t>
      </w:r>
    </w:p>
    <w:p>
      <w:pPr>
        <w:pStyle w:val="CodeBlock"/>
        <w:spacing w:after="120" w:line="252" w:lineRule="auto"/>
      </w:pPr>
      <w:r>
        <w:rPr>
          <w:rFonts w:ascii="Arial" w:hAnsi="Arial"/>
        </w:rPr>
        <w:t>a tool is not criminal intent</w:t>
      </w:r>
    </w:p>
    <w:p>
      <w:pPr>
        <w:pStyle w:val="CodeBlock"/>
        <w:spacing w:after="120" w:line="252" w:lineRule="auto"/>
      </w:pPr>
      <w:r>
        <w:rPr>
          <w:rFonts w:ascii="Arial" w:hAnsi="Arial"/>
        </w:rPr>
        <w:t>a body part is not automatically a crime</w:t>
      </w:r>
    </w:p>
    <w:p>
      <w:pPr>
        <w:pStyle w:val="CodeBlock"/>
        <w:spacing w:after="120" w:line="252" w:lineRule="auto"/>
      </w:pPr>
      <w:r>
        <w:rPr>
          <w:rFonts w:ascii="Arial" w:hAnsi="Arial"/>
        </w:rPr>
        <w:t>a state is not an act</w:t>
      </w:r>
    </w:p>
    <w:p>
      <w:pPr>
        <w:pStyle w:val="CodeBlock"/>
        <w:spacing w:after="120" w:line="252" w:lineRule="auto"/>
      </w:pPr>
      <w:r>
        <w:rPr>
          <w:rFonts w:ascii="Arial" w:hAnsi="Arial"/>
        </w:rPr>
        <w:t>a model is not a victim relation</w:t>
      </w:r>
    </w:p>
    <w:p>
      <w:pPr>
        <w:pStyle w:val="CodeBlock"/>
        <w:spacing w:after="120" w:line="252" w:lineRule="auto"/>
      </w:pPr>
      <w:r>
        <w:rPr>
          <w:rFonts w:ascii="Arial" w:hAnsi="Arial"/>
        </w:rPr>
        <w:t>a word is not a verdict</w:t>
      </w:r>
    </w:p>
    <w:p>
      <w:pPr>
        <w:spacing w:after="120" w:line="252" w:lineRule="auto"/>
      </w:pPr>
    </w:p>
    <w:p>
      <w:pPr>
        <w:spacing w:after="120" w:line="252" w:lineRule="auto"/>
      </w:pPr>
      <w:r>
        <w:rPr>
          <w:rFonts w:ascii="Arial" w:hAnsi="Arial"/>
          <w:sz w:val="21"/>
        </w:rPr>
        <w:t>Objects matter because acts bind through them. But the binding is the legal work.</w:t>
      </w:r>
    </w:p>
    <w:p>
      <w:pPr>
        <w:spacing w:after="120" w:line="252" w:lineRule="auto"/>
      </w:pPr>
    </w:p>
    <w:p>
      <w:pPr>
        <w:spacing w:after="120" w:line="252" w:lineRule="auto"/>
      </w:pPr>
      <w:r>
        <w:rPr>
          <w:rFonts w:ascii="Arial" w:hAnsi="Arial"/>
          <w:sz w:val="21"/>
        </w:rPr>
        <w:t>The disciplined sentence is:</w:t>
      </w:r>
    </w:p>
    <w:p>
      <w:pPr>
        <w:spacing w:after="120" w:line="252" w:lineRule="auto"/>
      </w:pPr>
    </w:p>
    <w:p>
      <w:pPr>
        <w:pStyle w:val="CodeBlock"/>
        <w:spacing w:after="120" w:line="252" w:lineRule="auto"/>
      </w:pPr>
      <w:r>
        <w:rPr>
          <w:rFonts w:ascii="Arial" w:hAnsi="Arial"/>
        </w:rPr>
        <w:t>This actor did this act with this object in this relation under this rule.</w:t>
      </w:r>
    </w:p>
    <w:p>
      <w:pPr>
        <w:spacing w:after="120" w:line="252" w:lineRule="auto"/>
      </w:pPr>
    </w:p>
    <w:p>
      <w:pPr>
        <w:spacing w:after="120" w:line="252" w:lineRule="auto"/>
      </w:pPr>
      <w:r>
        <w:rPr>
          <w:rFonts w:ascii="Arial" w:hAnsi="Arial"/>
          <w:sz w:val="21"/>
        </w:rPr>
        <w:t>Until that sentence can be formed, public speech should not pretend the object has already been tried.</w:t>
      </w:r>
    </w:p>
    <w:p>
      <w:pPr>
        <w:spacing w:after="120" w:line="252" w:lineRule="auto"/>
      </w:pPr>
    </w:p>
    <w:p>
      <w:pPr>
        <w:pStyle w:val="Heading1"/>
        <w:spacing w:after="120" w:line="252" w:lineRule="auto"/>
      </w:pPr>
      <w:r>
        <w:rPr>
          <w:rFonts w:ascii="Arial" w:hAnsi="Arial"/>
        </w:rPr>
        <w:t>References and sources</w:t>
      </w:r>
    </w:p>
    <w:p>
      <w:pPr>
        <w:spacing w:after="120" w:line="252" w:lineRule="auto"/>
      </w:pPr>
    </w:p>
    <w:p>
      <w:pPr>
        <w:spacing w:after="120" w:line="252" w:lineRule="auto"/>
      </w:pPr>
      <w:r>
        <w:rPr>
          <w:rFonts w:ascii="Arial" w:hAnsi="Arial"/>
          <w:sz w:val="21"/>
        </w:rPr>
        <w:t>Misuse of Drugs Act 1971, section 5, Restriction of possession of controlled drugs. legislation.gov.uk.</w:t>
      </w:r>
    </w:p>
    <w:p>
      <w:pPr>
        <w:spacing w:after="120" w:line="252" w:lineRule="auto"/>
      </w:pPr>
    </w:p>
    <w:p>
      <w:pPr>
        <w:spacing w:after="120" w:line="252" w:lineRule="auto"/>
      </w:pPr>
      <w:r>
        <w:rPr>
          <w:rFonts w:ascii="Arial" w:hAnsi="Arial"/>
          <w:sz w:val="21"/>
        </w:rPr>
        <w:t>Misuse of Drugs Act 1971, Schedule 2, Controlled drugs. legislation.gov.uk.</w:t>
      </w:r>
    </w:p>
    <w:p>
      <w:pPr>
        <w:spacing w:after="120" w:line="252" w:lineRule="auto"/>
      </w:pPr>
    </w:p>
    <w:p>
      <w:pPr>
        <w:spacing w:after="120" w:line="252" w:lineRule="auto"/>
      </w:pPr>
      <w:r>
        <w:rPr>
          <w:rFonts w:ascii="Arial" w:hAnsi="Arial"/>
          <w:sz w:val="21"/>
        </w:rPr>
        <w:t>Crown Prosecution Service. Drug Offences. Used for charging-language around possession of controlled drugs and unlawful physical possession or control.</w:t>
      </w:r>
    </w:p>
    <w:p>
      <w:pPr>
        <w:spacing w:after="120" w:line="252" w:lineRule="auto"/>
      </w:pPr>
    </w:p>
    <w:p>
      <w:pPr>
        <w:spacing w:after="120" w:line="252" w:lineRule="auto"/>
      </w:pPr>
      <w:r>
        <w:rPr>
          <w:rFonts w:ascii="Arial" w:hAnsi="Arial"/>
          <w:sz w:val="21"/>
        </w:rPr>
        <w:t>GOV.UK. Drug licensing factsheet: cannabis, CBD and other cannabinoids. Used for source-bound cannabis status within the Misuse of Drugs Act framework.</w:t>
      </w:r>
    </w:p>
    <w:p>
      <w:pPr>
        <w:spacing w:after="120" w:line="252" w:lineRule="auto"/>
      </w:pPr>
    </w:p>
    <w:p>
      <w:pPr>
        <w:spacing w:after="120" w:line="252" w:lineRule="auto"/>
      </w:pPr>
      <w:r>
        <w:rPr>
          <w:rFonts w:ascii="Arial" w:hAnsi="Arial"/>
          <w:sz w:val="21"/>
        </w:rPr>
        <w:t>Online Safety Act 2023. legislation.gov.uk.</w:t>
      </w:r>
    </w:p>
    <w:p>
      <w:pPr>
        <w:spacing w:after="120" w:line="252" w:lineRule="auto"/>
      </w:pPr>
    </w:p>
    <w:p>
      <w:pPr>
        <w:spacing w:after="120" w:line="252" w:lineRule="auto"/>
      </w:pPr>
      <w:r>
        <w:rPr>
          <w:rFonts w:ascii="Arial" w:hAnsi="Arial"/>
          <w:sz w:val="21"/>
        </w:rPr>
        <w:t>GOV.UK. Online Safety Act: explainer. Used for public explanation of duties, illegal content, and implementation.</w:t>
      </w:r>
    </w:p>
    <w:p>
      <w:pPr>
        <w:spacing w:after="120" w:line="252" w:lineRule="auto"/>
      </w:pPr>
    </w:p>
    <w:p>
      <w:pPr>
        <w:spacing w:after="120" w:line="252" w:lineRule="auto"/>
      </w:pPr>
      <w:r>
        <w:rPr>
          <w:rFonts w:ascii="Arial" w:hAnsi="Arial"/>
          <w:sz w:val="21"/>
        </w:rPr>
        <w:t>GOV.UK. Online Safety Act collection. Used for implementation context, including illegal content duties enforced from 17 March 2025.</w:t>
      </w:r>
    </w:p>
    <w:p>
      <w:pPr>
        <w:spacing w:after="120" w:line="252" w:lineRule="auto"/>
      </w:pPr>
    </w:p>
    <w:p>
      <w:pPr>
        <w:spacing w:after="120" w:line="252" w:lineRule="auto"/>
      </w:pPr>
      <w:r>
        <w:rPr>
          <w:rFonts w:ascii="Arial" w:hAnsi="Arial"/>
          <w:sz w:val="21"/>
        </w:rPr>
        <w:t>Data (Use and Access) Act 2025, section 138, Creating, or requesting the creation of, purported intimate image of adult. legislation.gov.uk.</w:t>
      </w:r>
    </w:p>
    <w:p>
      <w:pPr>
        <w:spacing w:after="120" w:line="252" w:lineRule="auto"/>
      </w:pPr>
    </w:p>
    <w:p>
      <w:pPr>
        <w:spacing w:after="120" w:line="252" w:lineRule="auto"/>
      </w:pPr>
      <w:r>
        <w:rPr>
          <w:rFonts w:ascii="Arial" w:hAnsi="Arial"/>
          <w:sz w:val="21"/>
        </w:rPr>
        <w:t>Law Commission. Offences against dead bodies, project page. Used for source-bound description of common law and statutory routes around dead bodies and corpse desecration gaps.</w:t>
      </w:r>
    </w:p>
    <w:p>
      <w:pPr>
        <w:spacing w:after="120" w:line="252" w:lineRule="auto"/>
      </w:pPr>
    </w:p>
    <w:p>
      <w:pPr>
        <w:spacing w:after="120" w:line="252" w:lineRule="auto"/>
      </w:pPr>
      <w:r>
        <w:rPr>
          <w:rFonts w:ascii="Arial" w:hAnsi="Arial"/>
          <w:sz w:val="21"/>
        </w:rPr>
        <w:t>Crown Prosecution Service. Graduated Fee Scheme F Annex 2, Table of Offences. Used only as a source that prevents lawful and decent burial appears as a common-law offence in CPS offence tables.</w:t>
      </w:r>
    </w:p>
    <w:p>
      <w:pPr>
        <w:spacing w:after="120" w:line="252" w:lineRule="auto"/>
      </w:pPr>
    </w:p>
    <w:p>
      <w:pPr>
        <w:spacing w:after="120" w:line="252" w:lineRule="auto"/>
      </w:pPr>
      <w:r>
        <w:rPr>
          <w:rFonts w:ascii="Arial" w:hAnsi="Arial"/>
          <w:sz w:val="21"/>
        </w:rPr>
        <w:t>House of Lords Library. Human body parts for sale, on display and in collections: Law, policy and campaigns for repatriation. 7 March 2025. Used for source-bound discussion of human remains in museums, private collections, sale, repatriation, and relation-dependent legal status.</w:t>
      </w:r>
    </w:p>
    <w:p>
      <w:pPr>
        <w:spacing w:after="120" w:line="252" w:lineRule="auto"/>
      </w:pPr>
    </w:p>
    <w:p>
      <w:pPr>
        <w:pStyle w:val="Heading1"/>
        <w:spacing w:after="120" w:line="252" w:lineRule="auto"/>
      </w:pPr>
      <w:r>
        <w:rPr>
          <w:rFonts w:ascii="Arial" w:hAnsi="Arial"/>
        </w:rPr>
        <w:t>Version notes for v0.002</w:t>
      </w:r>
    </w:p>
    <w:p>
      <w:pPr>
        <w:spacing w:after="120" w:line="252" w:lineRule="auto"/>
      </w:pPr>
    </w:p>
    <w:p>
      <w:pPr>
        <w:spacing w:after="120" w:line="252" w:lineRule="auto"/>
      </w:pPr>
      <w:r>
        <w:rPr>
          <w:rFonts w:ascii="Arial" w:hAnsi="Arial"/>
          <w:sz w:val="21"/>
        </w:rPr>
        <w:t>Added legal boundary and jurisdiction note.</w:t>
      </w:r>
    </w:p>
    <w:p>
      <w:pPr>
        <w:spacing w:after="120" w:line="252" w:lineRule="auto"/>
      </w:pPr>
    </w:p>
    <w:p>
      <w:pPr>
        <w:spacing w:after="120" w:line="252" w:lineRule="auto"/>
      </w:pPr>
      <w:r>
        <w:rPr>
          <w:rFonts w:ascii="Arial" w:hAnsi="Arial"/>
          <w:sz w:val="21"/>
        </w:rPr>
        <w:t>Added MOGRI relation.</w:t>
      </w:r>
    </w:p>
    <w:p>
      <w:pPr>
        <w:spacing w:after="120" w:line="252" w:lineRule="auto"/>
      </w:pPr>
    </w:p>
    <w:p>
      <w:pPr>
        <w:spacing w:after="120" w:line="252" w:lineRule="auto"/>
      </w:pPr>
      <w:r>
        <w:rPr>
          <w:rFonts w:ascii="Arial" w:hAnsi="Arial"/>
          <w:sz w:val="21"/>
        </w:rPr>
        <w:t>Added bridges to Evidence Is Not Person, Language Police, Psychosis_Gate, and Good Bad Reader.</w:t>
      </w:r>
    </w:p>
    <w:p>
      <w:pPr>
        <w:spacing w:after="120" w:line="252" w:lineRule="auto"/>
      </w:pPr>
    </w:p>
    <w:p>
      <w:pPr>
        <w:spacing w:after="120" w:line="252" w:lineRule="auto"/>
      </w:pPr>
      <w:r>
        <w:rPr>
          <w:rFonts w:ascii="Arial" w:hAnsi="Arial"/>
          <w:sz w:val="21"/>
        </w:rPr>
        <w:t>Added public legal checklist.</w:t>
      </w:r>
    </w:p>
    <w:p>
      <w:pPr>
        <w:spacing w:after="120" w:line="252" w:lineRule="auto"/>
      </w:pPr>
    </w:p>
    <w:p>
      <w:pPr>
        <w:spacing w:after="120" w:line="252" w:lineRule="auto"/>
      </w:pPr>
      <w:r>
        <w:rPr>
          <w:rFonts w:ascii="Arial" w:hAnsi="Arial"/>
          <w:sz w:val="21"/>
        </w:rPr>
        <w:t>Added Good Bad Reader fence: this is not "nothing is illegal"; it is "bind the prohibited act."</w:t>
      </w:r>
    </w:p>
    <w:p>
      <w:pPr>
        <w:spacing w:after="120" w:line="252" w:lineRule="auto"/>
      </w:pPr>
    </w:p>
    <w:p>
      <w:pPr>
        <w:spacing w:after="120" w:line="252" w:lineRule="auto"/>
      </w:pPr>
      <w:r>
        <w:rPr>
          <w:rFonts w:ascii="Arial" w:hAnsi="Arial"/>
          <w:sz w:val="21"/>
        </w:rPr>
        <w:t>Removed avoidable status-panic language that made the object sound morally infectious.</w:t>
      </w:r>
    </w:p>
    <w:p>
      <w:pPr>
        <w:spacing w:after="120" w:line="252" w:lineRule="auto"/>
      </w:pPr>
    </w:p>
    <w:p>
      <w:pPr>
        <w:spacing w:after="120" w:line="252" w:lineRule="auto"/>
      </w:pPr>
      <w:r>
        <w:rPr>
          <w:rFonts w:ascii="Arial" w:hAnsi="Arial"/>
          <w:sz w:val="21"/>
        </w:rPr>
        <w:t>Updated legal examples to remain source-bound as of 2026-06-24.</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Act Is Not Object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right="144"/>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