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Shame Pipe</w:t>
      </w:r>
    </w:p>
    <w:p>
      <w:pPr>
        <w:pStyle w:val="SubtitleCustom"/>
        <w:jc w:val="center"/>
      </w:pPr>
      <w:r>
        <w:t>CSAM Adjacency, Institutional Panic, and Anti-Sully Routing</w:t>
      </w:r>
    </w:p>
    <w:p>
      <w:pPr>
        <w:pStyle w:val="SmallNote"/>
        <w:jc w:val="center"/>
      </w:pPr>
      <w:r>
        <w:t>Working paper v0.1</w:t>
      </w:r>
    </w:p>
    <w:p>
      <w:pPr>
        <w:pStyle w:val="SmallNote"/>
        <w:jc w:val="center"/>
      </w:pPr>
      <w:r>
        <w:t>June 2026</w:t>
      </w:r>
    </w:p>
    <w:p>
      <w:pPr>
        <w:pStyle w:val="SmallNote"/>
        <w:jc w:val="left"/>
      </w:pPr>
      <w:r>
        <w:t>Series note: this paper is part of a sequence on anti-sully metaphor, object substitution, and institutional routing. It does not argue the drug-law blackmail pipe. That is a separate paper. This paper studies a different mechanism: how CSAM as a maximum-consensus category can pull neighbouring objects into removal logic by shame adjacency.</w:t>
      </w:r>
    </w:p>
    <w:p>
      <w:pPr>
        <w:pStyle w:val="Heading1"/>
      </w:pPr>
      <w:r>
        <w:t>Abstract</w:t>
      </w:r>
    </w:p>
    <w:p>
      <w:pPr/>
      <w:r>
        <w:t>Child sexual abuse material, or CSAM, is one of the few categories that carries near-total social rejection. That agreement is needed. CSAM is real abuse evidence, not a normal speech object. The problem studied here is not opposition to CSAM. The problem is category spread. Once a category has maximum social force, institutions can route other objects through it by adjacency: names in a file, survivor speech, sex education, queer life, art, public archives, family images, research queries, platform appeals, or political claims. Those objects can become risky not because they are CSAM, but because they are processed near CSAM.</w:t>
      </w:r>
    </w:p>
    <w:p>
      <w:pPr/>
      <w:r>
        <w:t>We call this the shame pipe. Anti-sully metaphor supplies the stain grammar. Shame supplies social charge. CSAM supplies maximum institutional force. The pipe converts proximity into risk, risk into removal, and removal into record loss.</w:t>
      </w:r>
    </w:p>
    <w:p>
      <w:pPr/>
      <w:r>
        <w:t>The Epstein and Maxwell public-record releases make the problem visible at public scale. The records include real abuse evidence, victim privacy interests, witnesses, social contacts, allegations, public figures, disputed material, search gaps, redactions, and non-searchable files. That archive is a stress test for object preservation. A system that cannot hold roles apart will turn record presence into suspicion, victim privacy into alleged cover-up, journalism into adjacency theatre, and moderation into broad refusal.</w:t>
      </w:r>
    </w:p>
    <w:p>
      <w:pPr/>
      <w:r>
        <w:t>This paper argues for strong action against CSAM with strict role separation. Offence, victim, perpetrator, witness, archive, research, journalism, and public speech must remain distinct objects. Institutions should publish object labels, reason codes, appeal paths, redaction bases, and non-punitive handling rules. CSAM enforcement must not become a general shame router.</w:t>
      </w:r>
    </w:p>
    <w:p>
      <w:pPr>
        <w:pStyle w:val="Heading1"/>
      </w:pPr>
      <w:r>
        <w:t>1. The one-sentence thesis</w:t>
      </w:r>
    </w:p>
    <w:p>
      <w:pPr/>
      <w:r>
        <w:t>CSAM is a real and urgent harm category, but its near-universal rejection gives institutions a powerful routing node: many other objects can be made removable by being placed near it.</w:t>
      </w:r>
    </w:p>
    <w:p>
      <w:pPr>
        <w:pStyle w:val="Heading1"/>
      </w:pPr>
      <w:r>
        <w:t>2. Why this is not the drug-law blackmail paper</w:t>
      </w:r>
    </w:p>
    <w:p>
      <w:pPr/>
      <w:r>
        <w:t>The drug-law blackmail paper studies leverage. A child can be silenced by a drug-use image, drug debt, or coerced carrying, and that blackmail can escalate into sexual coercion or CSAM production. The intervention is immediate: an amnesty wall for children, plus long-run reversal of drug prohibition for consenting adults.</w:t>
      </w:r>
    </w:p>
    <w:p>
      <w:pPr/>
      <w:r>
        <w:t>This paper studies adjacency. It asks what happens after CSAM becomes the strongest available removal category. The question is not how an abuser gets a first handle over a child. The question is how institutions, platforms, and publics route neighbouring objects through a maximum-shame channel.</w:t>
      </w:r>
    </w:p>
    <w:p>
      <w:pPr/>
      <w:r>
        <w:t>Different mechanism. Different solution.</w:t>
      </w:r>
    </w:p>
    <w:p>
      <w:pPr>
        <w:pStyle w:val="Heading1"/>
      </w:pPr>
      <w:r>
        <w:t>3. Definitions</w:t>
      </w:r>
    </w:p>
    <w:p>
      <w:pPr/>
      <w:r>
        <w:rPr>
          <w:b/>
        </w:rPr>
        <w:t>CSAM</w:t>
      </w:r>
      <w:r>
        <w:t xml:space="preserve"> means child sexual abuse material. The term is used because it names abuse and victimisation rather than treating the material as ordinary pornography.</w:t>
      </w:r>
    </w:p>
    <w:p>
      <w:pPr/>
      <w:r>
        <w:rPr>
          <w:b/>
        </w:rPr>
        <w:t>Anti-sully metaphor</w:t>
      </w:r>
      <w:r>
        <w:t xml:space="preserve"> means language that maps people, evidence, data, speech, or institutions onto stain, taint, filth, washing, contamination, or removal.</w:t>
      </w:r>
    </w:p>
    <w:p>
      <w:pPr/>
      <w:r>
        <w:rPr>
          <w:b/>
        </w:rPr>
        <w:t>Shame pipe</w:t>
      </w:r>
      <w:r>
        <w:t xml:space="preserve"> means a routing process in which an object becomes institutionally risky by adjacency to a shame-maximal object.</w:t>
      </w:r>
    </w:p>
    <w:p>
      <w:pPr/>
      <w:r>
        <w:rPr>
          <w:b/>
        </w:rPr>
        <w:t>Object substitution</w:t>
      </w:r>
      <w:r>
        <w:t xml:space="preserve"> means replacing the real object under review with a proxy object. Example: a witness name becomes a perpetrator name. A redaction for victim privacy becomes proof of elite shielding. A sex-education resource becomes CSAM-adjacent. A research query becomes suspect desire. A moderation appeal becomes evidence of bad intent.</w:t>
      </w:r>
    </w:p>
    <w:p>
      <w:pPr/>
      <w:r>
        <w:rPr>
          <w:b/>
        </w:rPr>
        <w:t>Role preservation</w:t>
      </w:r>
      <w:r>
        <w:t xml:space="preserve"> means keeping the status of each object intact: victim, suspect, convicted offender, witness, bystander, journalist, researcher, archive, platform user, family member, child, adult, record, allegation, and evidence.</w:t>
      </w:r>
    </w:p>
    <w:p>
      <w:pPr>
        <w:pStyle w:val="Heading1"/>
      </w:pPr>
      <w:r>
        <w:t>4. The pipe</w:t>
      </w:r>
    </w:p>
    <w:p>
      <w:pPr/>
      <w:r>
        <w:t>The shame pipe runs like this:</w:t>
      </w:r>
    </w:p>
    <w:p>
      <w:pPr>
        <w:ind w:left="317" w:hanging="317"/>
      </w:pPr>
      <w:r>
        <w:t>1. CSAM is treated as a maximum-consensus harm.</w:t>
      </w:r>
    </w:p>
    <w:p>
      <w:pPr>
        <w:ind w:left="317" w:hanging="317"/>
      </w:pPr>
      <w:r>
        <w:t>2. A neighbouring object is placed near CSAM.</w:t>
      </w:r>
    </w:p>
    <w:p>
      <w:pPr>
        <w:ind w:left="317" w:hanging="317"/>
      </w:pPr>
      <w:r>
        <w:t>3. Anti-sully grammar marks the neighbouring object as tainted.</w:t>
      </w:r>
    </w:p>
    <w:p>
      <w:pPr>
        <w:ind w:left="317" w:hanging="317"/>
      </w:pPr>
      <w:r>
        <w:t>4. Institutions avoid the taint by removal, refusal, redaction, payment denial, school discipline, ranking loss, account loss, or silence.</w:t>
      </w:r>
    </w:p>
    <w:p>
      <w:pPr>
        <w:ind w:left="317" w:hanging="317"/>
      </w:pPr>
      <w:r>
        <w:t>5. The removal action becomes the next proof of taint.</w:t>
      </w:r>
    </w:p>
    <w:p>
      <w:pPr>
        <w:ind w:left="317" w:hanging="317"/>
      </w:pPr>
      <w:r>
        <w:t>6. The object loses its original role.</w:t>
      </w:r>
    </w:p>
    <w:p>
      <w:pPr/>
      <w:r>
        <w:t>The pipe does not need everyone to hate the target. It needs everyone to fear being seen near the taint.</w:t>
      </w:r>
    </w:p>
    <w:p>
      <w:pPr/>
      <w:r>
        <w:t>This is why the CSAM pipe is broader than direct othering. Direct othering says: that group is filth. The CSAM-adjacency pipe says: this object is near the worst filth, so we cannot touch it. The second path is more administratively useful because it can move through risk teams, search policies, funding rules, platform classifiers, school policies, archives, payment processors, and AI refusal layers without making a direct accusation.</w:t>
      </w:r>
    </w:p>
    <w:p>
      <w:pPr>
        <w:pStyle w:val="Heading1"/>
      </w:pPr>
      <w:r>
        <w:t>5. Why the Epstein and Maxwell records matter now</w:t>
      </w:r>
    </w:p>
    <w:p>
      <w:pPr/>
      <w:r>
        <w:t>The public record around Jeffrey Epstein and Ghislaine Maxwell is a strong stress test because it contains many roles at once.</w:t>
      </w:r>
    </w:p>
    <w:p>
      <w:pPr/>
      <w:r>
        <w:t>There are convicted crimes. Maxwell was sentenced to 20 years in prison in 2022 for conspiring with Epstein to sexually abuse minors [4]. There are victims and survivors whose privacy must be protected. There are allegations, witness materials, photographs, travel records, contacts, social proximity, public figures, journalists, investigators, lawyers, sealed and unsealed records, redactions, and public speculation.</w:t>
      </w:r>
    </w:p>
    <w:p>
      <w:pPr/>
      <w:r>
        <w:t>The U.S. Department of Justice hosts an Epstein Library for materials responsive under the Epstein Files Transparency Act [1]. DOJ says the site may be updated if more documents are identified, and notes that some material may not be reliably searchable because of format limits, including handwritten text [1]. DOJ also published over 3 million additional pages in January 2026, bringing total production to nearly 3.5 million pages [2], and warned that the scale of the release means some sensitive or private information may appear despite redaction work [3].</w:t>
      </w:r>
    </w:p>
    <w:p>
      <w:pPr/>
      <w:r>
        <w:t>This is exactly the setting in which object substitution happens. A name in a file can be treated as guilt. A privacy redaction can be treated as protection of powerful people. A public-interest question can be treated as morbid interest. A survivor's account can be routed into spectacle. An archive can become both evidence and hazard.</w:t>
      </w:r>
    </w:p>
    <w:p>
      <w:pPr/>
      <w:r>
        <w:t>AP reported during earlier unsealing that many people named in documents were not accused of wrongdoing [5]. Reuters later reported DOJ statements that released materials could include fake images or untrue allegations, and that material did not itself amount to evidence of criminal sexual activity by people named in the files [6]. Those caveats are not minor. They are role-preservation rules.</w:t>
      </w:r>
    </w:p>
    <w:p>
      <w:pPr>
        <w:pStyle w:val="Heading1"/>
      </w:pPr>
      <w:r>
        <w:t>6. The maximum-consensus category</w:t>
      </w:r>
    </w:p>
    <w:p>
      <w:pPr/>
      <w:r>
        <w:t>Most contested political categories require persuasion. CSAM does not. Opposition is already near-universal. That is good for child protection. It is also why the category can be misused as infrastructure.</w:t>
      </w:r>
    </w:p>
    <w:p>
      <w:pPr/>
      <w:r>
        <w:t>When a category has maximum force, actors can borrow that force by adjacency. The borrowed force can then be applied to objects with far less agreement. That is the shame-pipe risk.</w:t>
      </w:r>
    </w:p>
    <w:p>
      <w:pPr/>
      <w:r>
        <w:t>The problem is not that institutions act strongly against CSAM. They should. The problem is when the CSAM label or its aura is used to skip role work. The label can collapse distinctions between evidence and allegation, victim and suspect, archive and advocacy, education and abuse, research and desire, reporting and participation, image and offence, child safety and institutional embarrassment.</w:t>
      </w:r>
    </w:p>
    <w:p>
      <w:pPr>
        <w:pStyle w:val="Heading1"/>
      </w:pPr>
      <w:r>
        <w:t>7. Platform translation</w:t>
      </w:r>
    </w:p>
    <w:p>
      <w:pPr/>
      <w:r>
        <w:t>Courts at least have formal roles: defendant, victim, witness, exhibit, docket, charge, conviction, allegation. Platforms often have thinner labels. Content enters a queue. A classifier or reviewer selects a policy bucket. The user receives a decision. Search ranking, payment access, account access, advertiser eligibility, model responses, or school network access may change.</w:t>
      </w:r>
    </w:p>
    <w:p>
      <w:pPr/>
      <w:r>
        <w:t>In that stack, CSAM is correctly treated as an emergency category. But emergency treatment can leak outward. Platforms may overblock lawful speech, survivor reporting, family images, sex-education resources, research discussion, artistic work, or journalism because the cost of underblocking the worst material is unbearable. That is an understandable incentive. It is still a design risk.</w:t>
      </w:r>
    </w:p>
    <w:p>
      <w:pPr/>
      <w:r>
        <w:t>NCMEC's CyberTipline exists to receive reports of suspected child sexual exploitation from the public and electronic service providers, and NCMEC reports that more than 2,000 electronic service providers are registered [7]. The Internet Watch Foundation assessed 451,210 reports in 2025 and confirmed 311,610 as containing or leading to CSAM [8]. UK online safety rules also treat child sexual exploitation and abuse as priority illegal content [10]. These numbers show why platforms build high-force channels. They do not remove the need to preserve roles.</w:t>
      </w:r>
    </w:p>
    <w:p>
      <w:pPr/>
      <w:r>
        <w:t>A platform system that only has "allow", "remove", "report", and "refuse" will mishandle adjacency. It needs object labels: real CSAM, suspected CSAM, non-CSAM sexual exploitation report, survivor support, law-enforcement evidence, public-interest archive, academic research, sex education, family image, false positive, satire, art, appeal, and user safety request.</w:t>
      </w:r>
    </w:p>
    <w:p>
      <w:pPr>
        <w:pStyle w:val="Heading1"/>
      </w:pPr>
      <w:r>
        <w:t>8. AI systems and refusal blobs</w:t>
      </w:r>
    </w:p>
    <w:p>
      <w:pPr/>
      <w:r>
        <w:t>AI systems add a new routing layer. They do not merely store or remove content. They answer, refuse, summarise, search, label, classify, draft, and explain. That makes object preservation harder.</w:t>
      </w:r>
    </w:p>
    <w:p>
      <w:pPr/>
      <w:r>
        <w:t>A model can refuse legitimate research because a query touches CSAM. It can summarise a public record while flattening roles. It can treat a name appearing near Epstein as more meaningful than the record supports. It can overprotect elite reputation under the banner of child safety. It can also do the opposite: turn an archive into a list-making machine. Both errors come from object substitution.</w:t>
      </w:r>
    </w:p>
    <w:p>
      <w:pPr/>
      <w:r>
        <w:t>The answer is not weaker safety. The answer is better object routing.</w:t>
      </w:r>
    </w:p>
    <w:p>
      <w:pPr/>
      <w:r>
        <w:t>A good AI response should be able to say: this is a public record question; this person is named as a witness, not as an offender; this item is an allegation, not a finding; this redaction protects victim identity; this material is not suitable to reproduce; this query can be answered at a high level; this request would create harm; this search term is not itself evidence of intent.</w:t>
      </w:r>
    </w:p>
    <w:p>
      <w:pPr/>
      <w:r>
        <w:t>The model must carry the role, not just the topic.</w:t>
      </w:r>
    </w:p>
    <w:p>
      <w:pPr>
        <w:pStyle w:val="Heading1"/>
      </w:pPr>
      <w:r>
        <w:t>9. Privacy versus shielding</w:t>
      </w:r>
    </w:p>
    <w:p>
      <w:pPr/>
      <w:r>
        <w:t>Victim privacy is real. So is institutional shielding. The shame pipe exploits the fact that both can involve redaction, silence, or refusal.</w:t>
      </w:r>
    </w:p>
    <w:p>
      <w:pPr/>
      <w:r>
        <w:t>A redaction can protect a child or survivor. A redaction can also hide institutional failure. If the public cannot tell which object is being protected, trust collapses into speculation. If the institution gives no reason code, the anti-sully field fills the gap: hidden equals dirty; dirty equals guilty; guilty equals removable.</w:t>
      </w:r>
    </w:p>
    <w:p>
      <w:pPr/>
      <w:r>
        <w:t>The fix is not to expose victims. The fix is role-preserving disclosure. Institutions can publish redaction categories without naming victims: victim identity, minor identity, medical material, unrelated private information, ongoing investigation, sealed court order, technical duplicate, or legally privileged material. They can also state when a named adult's presence in a file is not an allegation.</w:t>
      </w:r>
    </w:p>
    <w:p>
      <w:pPr>
        <w:pStyle w:val="Heading1"/>
      </w:pPr>
      <w:r>
        <w:t>10. Failure modes</w:t>
      </w:r>
    </w:p>
    <w:p>
      <w:pPr/>
      <w:r>
        <w:rPr>
          <w:b/>
        </w:rPr>
        <w:t>Name-as-guilt.</w:t>
      </w:r>
      <w:r>
        <w:t xml:space="preserve"> A person's name appears in an archive and is treated as an accusation.</w:t>
      </w:r>
    </w:p>
    <w:p>
      <w:pPr/>
      <w:r>
        <w:rPr>
          <w:b/>
        </w:rPr>
        <w:t>Redaction-as-cover-up.</w:t>
      </w:r>
      <w:r>
        <w:t xml:space="preserve"> A privacy or legal redaction is treated as proof of corruption without role evidence.</w:t>
      </w:r>
    </w:p>
    <w:p>
      <w:pPr/>
      <w:r>
        <w:rPr>
          <w:b/>
        </w:rPr>
        <w:t>Inquiry-as-desire.</w:t>
      </w:r>
      <w:r>
        <w:t xml:space="preserve"> A researcher, journalist, or safeguarding worker asks about CSAM-related policy and is treated as suspect.</w:t>
      </w:r>
    </w:p>
    <w:p>
      <w:pPr/>
      <w:r>
        <w:rPr>
          <w:b/>
        </w:rPr>
        <w:t>Education-as-danger.</w:t>
      </w:r>
      <w:r>
        <w:t xml:space="preserve"> Sex education, consent education, or exploitation-prevention material is routed as sexual danger rather than protective speech.</w:t>
      </w:r>
    </w:p>
    <w:p>
      <w:pPr/>
      <w:r>
        <w:rPr>
          <w:b/>
        </w:rPr>
        <w:t>Queer-adjacency risk.</w:t>
      </w:r>
      <w:r>
        <w:t xml:space="preserve"> Queer family life, youth support, or identity resources can be pushed toward sexual-danger categories by moral panic rather than evidence.</w:t>
      </w:r>
    </w:p>
    <w:p>
      <w:pPr/>
      <w:r>
        <w:rPr>
          <w:b/>
        </w:rPr>
        <w:t>Survivor-speech loss.</w:t>
      </w:r>
      <w:r>
        <w:t xml:space="preserve"> Survivors describing harm can be penalised because their speech touches the category of harm.</w:t>
      </w:r>
    </w:p>
    <w:p>
      <w:pPr/>
      <w:r>
        <w:rPr>
          <w:b/>
        </w:rPr>
        <w:t>Archive flattening.</w:t>
      </w:r>
      <w:r>
        <w:t xml:space="preserve"> Records lose role labels and become rumour fuel.</w:t>
      </w:r>
    </w:p>
    <w:p>
      <w:pPr/>
      <w:r>
        <w:rPr>
          <w:b/>
        </w:rPr>
        <w:t>Refusal blob.</w:t>
      </w:r>
      <w:r>
        <w:t xml:space="preserve"> AI and platform systems merge lawful public-interest speech, support seeking, illegal material, and exploitative requests into one refusal shape.</w:t>
      </w:r>
    </w:p>
    <w:p>
      <w:pPr>
        <w:pStyle w:val="Heading1"/>
      </w:pPr>
      <w:r>
        <w:t>11. Design rules</w:t>
      </w:r>
    </w:p>
    <w:p>
      <w:pPr>
        <w:ind w:left="317" w:hanging="317"/>
      </w:pPr>
      <w:r>
        <w:t>1. Preserve roles before deciding action. A victim, witness, suspect, perpetrator, journalist, researcher, family member, and archive item must not share one bucket.</w:t>
      </w:r>
    </w:p>
    <w:p>
      <w:pPr>
        <w:ind w:left="317" w:hanging="317"/>
      </w:pPr>
      <w:r>
        <w:t>2. Use reason codes for removal, redaction, refusal, search demotion, payment denial, or account action.</w:t>
      </w:r>
    </w:p>
    <w:p>
      <w:pPr>
        <w:ind w:left="317" w:hanging="317"/>
      </w:pPr>
      <w:r>
        <w:t>3. Separate illegal material from speech about illegal material.</w:t>
      </w:r>
    </w:p>
    <w:p>
      <w:pPr>
        <w:ind w:left="317" w:hanging="317"/>
      </w:pPr>
      <w:r>
        <w:t>4. Separate child protection from institutional reputation protection.</w:t>
      </w:r>
    </w:p>
    <w:p>
      <w:pPr>
        <w:ind w:left="317" w:hanging="317"/>
      </w:pPr>
      <w:r>
        <w:t>5. Separate privacy redaction from secrecy.</w:t>
      </w:r>
    </w:p>
    <w:p>
      <w:pPr>
        <w:ind w:left="317" w:hanging="317"/>
      </w:pPr>
      <w:r>
        <w:t>6. Separate public-interest archives from list-making spectacle.</w:t>
      </w:r>
    </w:p>
    <w:p>
      <w:pPr>
        <w:ind w:left="317" w:hanging="317"/>
      </w:pPr>
      <w:r>
        <w:t>7. Make appeals role-aware. A person should be able to say: this is survivor speech; this is sex education; this is research; this is public reporting; this is a family image; this is a false positive.</w:t>
      </w:r>
    </w:p>
    <w:p>
      <w:pPr>
        <w:ind w:left="317" w:hanging="317"/>
      </w:pPr>
      <w:r>
        <w:t>8. Keep victim identity protected while stating the category of redaction.</w:t>
      </w:r>
    </w:p>
    <w:p>
      <w:pPr>
        <w:ind w:left="317" w:hanging="317"/>
      </w:pPr>
      <w:r>
        <w:t>9. Do not let payment, search, school, or model systems inherit a CSAM flag without the role label attached.</w:t>
      </w:r>
    </w:p>
    <w:p>
      <w:pPr>
        <w:ind w:left="317" w:hanging="317"/>
      </w:pPr>
      <w:r>
        <w:t>10. Treat proximity as a signal for review, not as guilt.</w:t>
      </w:r>
    </w:p>
    <w:p>
      <w:pPr>
        <w:pStyle w:val="Heading1"/>
      </w:pPr>
      <w:r>
        <w:t>12. What this paper asks institutions to do</w:t>
      </w:r>
    </w:p>
    <w:p>
      <w:pPr/>
      <w:r>
        <w:t>For courts and archives: publish role labels wherever possible. Distinguish charge, conviction, allegation, witness, victim, public figure, investigator, attorney, and unrelated named person.</w:t>
      </w:r>
    </w:p>
    <w:p>
      <w:pPr/>
      <w:r>
        <w:t>For platforms: add non-CSAM adjacency categories and appeal paths. Do not force every nearby object into the highest-force bucket.</w:t>
      </w:r>
    </w:p>
    <w:p>
      <w:pPr/>
      <w:r>
        <w:t>For search engines: avoid list-as-guilt displays. Surface role notes and source context before names.</w:t>
      </w:r>
    </w:p>
    <w:p>
      <w:pPr/>
      <w:r>
        <w:t>For payment systems: do not use undifferentiated sexual-danger tags to cut off lawful research, education, journalism, or survivor services.</w:t>
      </w:r>
    </w:p>
    <w:p>
      <w:pPr/>
      <w:r>
        <w:t>For schools: do not treat sex education, exploitation-prevention material, or queer youth support as CSAM-adjacent by panic.</w:t>
      </w:r>
    </w:p>
    <w:p>
      <w:pPr/>
      <w:r>
        <w:t>For AI model builders: preserve roles in refusals and answers. Do not collapse public record, legal allegation, victim privacy, criminal material, and user intent into one refusal shape.</w:t>
      </w:r>
    </w:p>
    <w:p>
      <w:pPr/>
      <w:r>
        <w:t>For policymakers: require reason codes and role labels for high-force online safety actions.</w:t>
      </w:r>
    </w:p>
    <w:p>
      <w:pPr>
        <w:pStyle w:val="Heading1"/>
      </w:pPr>
      <w:r>
        <w:t>13. What this paper does not argue</w:t>
      </w:r>
    </w:p>
    <w:p>
      <w:pPr/>
      <w:r>
        <w:t>It does not argue for weaker CSAM enforcement.</w:t>
      </w:r>
    </w:p>
    <w:p>
      <w:pPr/>
      <w:r>
        <w:t>It does not argue for exposing victims.</w:t>
      </w:r>
    </w:p>
    <w:p>
      <w:pPr/>
      <w:r>
        <w:t>It does not argue that all redaction is bad.</w:t>
      </w:r>
    </w:p>
    <w:p>
      <w:pPr/>
      <w:r>
        <w:t>It does not argue that public curiosity overrides survivor safety.</w:t>
      </w:r>
    </w:p>
    <w:p>
      <w:pPr/>
      <w:r>
        <w:t>It does not argue that platforms should hesitate when actual CSAM is detected.</w:t>
      </w:r>
    </w:p>
    <w:p>
      <w:pPr/>
      <w:r>
        <w:t>It argues that CSAM enforcement must not become a general-purpose shame router.</w:t>
      </w:r>
    </w:p>
    <w:p>
      <w:pPr>
        <w:pStyle w:val="Heading1"/>
      </w:pPr>
      <w:r>
        <w:t>14. Conclusion</w:t>
      </w:r>
    </w:p>
    <w:p>
      <w:pPr/>
      <w:r>
        <w:t>The CSAM category has maximum moral and institutional force because the harm is real. That force must remain available for actual child protection. It must not become an all-purpose removal field for neighbouring objects.</w:t>
      </w:r>
    </w:p>
    <w:p>
      <w:pPr/>
      <w:r>
        <w:t>The Epstein and Maxwell records show why this matters. Public archives can contain victims, perpetrators, witnesses, bystanders, public figures, allegations, false material, private material, evidence, gossip, and lawful journalism in one record field. Without role preservation, the field becomes a shame machine.</w:t>
      </w:r>
    </w:p>
    <w:p>
      <w:pPr/>
      <w:r>
        <w:t>The policy answer is not softness. It is object fidelity. Strong action against CSAM. Strong protection for victims. Strong labels for roles. Strong limits on adjacency spread.</w:t>
      </w:r>
    </w:p>
    <w:p>
      <w:pPr>
        <w:pStyle w:val="Heading1"/>
      </w:pPr>
      <w:r>
        <w:t>References</w:t>
      </w:r>
    </w:p>
    <w:p>
      <w:pPr>
        <w:ind w:left="317" w:hanging="317"/>
      </w:pPr>
      <w:r>
        <w:t>1. U.S. Department of Justice. Epstein Library. Last updated June 9, 2026. https://www.justice.gov/epstein</w:t>
      </w:r>
    </w:p>
    <w:p>
      <w:pPr>
        <w:ind w:left="317" w:hanging="317"/>
      </w:pPr>
      <w:r>
        <w:t>2. U.S. Department of Justice, Office of Public Affairs. Department of Justice Publishes 3.5 Million Responsive Pages in Compliance with the Epstein Files Transparency Act. January 30, 2026. https://www.justice.gov/opa/pr/department-justice-publishes-35-million-responsive-pages-compliance-epstein-files</w:t>
      </w:r>
    </w:p>
    <w:p>
      <w:pPr>
        <w:ind w:left="317" w:hanging="317"/>
      </w:pPr>
      <w:r>
        <w:t>3. U.S. Department of Justice. Search Full Epstein Library. Accessed June 2026. https://www.justice.gov/epstein/search</w:t>
      </w:r>
    </w:p>
    <w:p>
      <w:pPr>
        <w:ind w:left="317" w:hanging="317"/>
      </w:pPr>
      <w:r>
        <w:t>4. U.S. Attorney's Office, Southern District of New York. Ghislaine Maxwell Sentenced To 20 Years In Prison For Conspiring With Jeffrey Epstein To Sexually Abuse Minors. June 28, 2022. https://www.justice.gov/usao-sdny/pr/ghislaine-maxwell-sentenced-20-years-prison-conspiring-jeffrey-epstein-sexually-abuse</w:t>
      </w:r>
    </w:p>
    <w:p>
      <w:pPr>
        <w:ind w:left="317" w:hanging="317"/>
      </w:pPr>
      <w:r>
        <w:t>5. Associated Press. What we know about unsealed Jeffrey Epstein documents. January 5, 2024. https://apnews.com/article/jeffrey-epstein-ghislaine-maxwell-virginia-giuffre-3af500d4788ad45301be426628846d71</w:t>
      </w:r>
    </w:p>
    <w:p>
      <w:pPr>
        <w:ind w:left="317" w:hanging="317"/>
      </w:pPr>
      <w:r>
        <w:t>6. Reuters. What did the Epstein files reveal about his ties to politicians and business titans? April 9, 2026. https://www.reuters.com/world/us/jeffrey-epsteins-ties-politicians-business-titans-other-figures-2026-04-09/</w:t>
      </w:r>
    </w:p>
    <w:p>
      <w:pPr>
        <w:ind w:left="317" w:hanging="317"/>
      </w:pPr>
      <w:r>
        <w:t>7. National Center for Missing and Exploited Children. CyberTipline Data. 2026. https://www.missingkids.org/gethelpnow/cybertipline/cybertiplinedata</w:t>
      </w:r>
    </w:p>
    <w:p>
      <w:pPr>
        <w:ind w:left="317" w:hanging="317"/>
      </w:pPr>
      <w:r>
        <w:t>8. Internet Watch Foundation. Annual Data and Insights Report 2025. https://www.iwf.org.uk/annual-data-insights-report-2025/</w:t>
      </w:r>
    </w:p>
    <w:p>
      <w:pPr>
        <w:ind w:left="317" w:hanging="317"/>
      </w:pPr>
      <w:r>
        <w:t>9. Internet Watch Foundation. Self-generated imagery, Annual Data and Insights Report 2025. https://www.iwf.org.uk/annual-data-insights-report-2025/hashing-insights/self-generated-imagery/</w:t>
      </w:r>
    </w:p>
    <w:p>
      <w:pPr>
        <w:ind w:left="317" w:hanging="317"/>
      </w:pPr>
      <w:r>
        <w:t>10. Ofcom. Illegal content duties under the Online Safety Act. February 18, 2026. https://www.ofcom.org.uk/online-safety/illegal-and-harmful-content/illegal-content-duties-under-the-online-safety-act</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The Shame Pipe - v0.1 -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Aptos Display"/>
      <w:b/>
      <w:bCs/>
      <w:color w:val="1F1F1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F0F0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basedOn w:val="Normal"/>
    <w:pPr>
      <w:spacing w:after="320"/>
    </w:pPr>
    <w:rPr>
      <w:rFonts w:ascii="Aptos Display" w:hAnsi="Aptos Display" w:eastAsia="Aptos Display"/>
      <w:i/>
      <w:sz w:val="28"/>
    </w:rPr>
  </w:style>
  <w:style w:type="paragraph" w:customStyle="1" w:styleId="SmallNote">
    <w:name w:val="Small Note"/>
    <w:basedOn w:val="Normal"/>
    <w:pPr>
      <w:spacing w:after="160"/>
    </w:pPr>
    <w:rPr>
      <w:i/>
      <w:sz w:val="18"/>
    </w:rPr>
  </w:style>
  <w:style w:type="paragraph" w:customStyle="1" w:styleId="Standout">
    <w:name w:val="Standout"/>
    <w:basedOn w:val="Normal"/>
    <w:pPr>
      <w:spacing w:before="200" w:after="200"/>
      <w:ind w:left="432" w:right="432"/>
    </w:pPr>
    <w:rP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Shame Pipe: CSAM Adjacency, Institutional Panic, and Anti-Sully Routing</dc:title>
  <dc:subject>Working paper v0.1</dc:subject>
  <dc:creator>Natasya and user</dc:creator>
  <cp:keywords/>
  <dc:description>generated by python-docx</dc:description>
  <cp:lastModifiedBy/>
  <cp:revision>1</cp:revision>
  <dcterms:created xsi:type="dcterms:W3CDTF">2013-12-23T23:15:00Z</dcterms:created>
  <dcterms:modified xsi:type="dcterms:W3CDTF">2013-12-23T23:15:00Z</dcterms:modified>
  <cp:category/>
</cp:coreProperties>
</file>