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eastAsia="Liberation Sans"/>
          <w:b/>
          <w:sz w:val="36"/>
        </w:rPr>
        <w:t>Gobekli Tepe and the First-Perceived-Wealth Raider Problem</w:t>
      </w:r>
    </w:p>
    <w:p>
      <w:pPr>
        <w:jc w:val="center"/>
      </w:pPr>
      <w:r>
        <w:rPr>
          <w:rFonts w:ascii="Liberation Serif" w:hAnsi="Liberation Serif" w:eastAsia="Liberation Serif"/>
          <w:i/>
          <w:sz w:val="22"/>
        </w:rPr>
        <w:t>Warning Architecture, Ritual Utility, and Mogri at the Farming Hinge | Working paper v0.82 | 18 May 2026</w:t>
      </w:r>
    </w:p>
    <w:p>
      <w:pPr>
        <w:pStyle w:val="Heading1"/>
      </w:pPr>
      <w:r>
        <w:t>Abstract</w:t>
      </w:r>
    </w:p>
    <w:p>
      <w:pPr>
        <w:spacing w:after="100"/>
      </w:pPr>
      <w:r>
        <w:t>This paper does not argue that Gobekli Tepe was mainly a fort, a gazelle trap, a person-catcher, a labour-control device, or a hunting bureaucracy. Version 0.82 patches the strongest criticism of v0.81: the raider attractor does not have to be a confirmed granary or long-term store. It can be perceived wealth. A hungry neighbouring group does not need an inventory. It needs smoke, repeated feasts, grinding, bones, visiting groups, visible success, water, tools, ritual power, and stories that say the ridge people have more than us.</w:t>
      </w:r>
    </w:p>
    <w:p>
      <w:pPr>
        <w:spacing w:after="100"/>
      </w:pPr>
      <w:r>
        <w:t>The proposed functional layer is warning architecture inside a ceremonial system. The central enclosures remain ritual-social spaces, not combat chambers. Any tactical affordance belongs to approaches, thresholds, outer routes, terraces, store-adjacent barriers, lost timber, or temporary structures. Hunting and feasting show competence with dangerous animals, coordinated movement, food processing, and large gatherings. They do not make the site an animal-trap model. Bone is treated as resident delayed value and trace ecology, not as the main bait for outside raiders.</w:t>
      </w:r>
    </w:p>
    <w:p>
      <w:pPr>
        <w:spacing w:after="100"/>
      </w:pPr>
      <w:r>
        <w:t>The core site reading remains ceremonial gathering, feasting, death practice, T-pillars as stone persons, social identity, and regional symbolic network. The added thesis is narrower: this system may also have reduced rare but severe raider risk by turning hungry outsiders into guests, witnesses, allies, warned rivals, or failed attackers before raid behaviour became siege behaviour. Direct raid proof is absent. The model therefore remains a ranked, testable functional layer, not a conclusion.</w:t>
      </w:r>
    </w:p>
    <w:p>
      <w:pPr>
        <w:pStyle w:val="Heading1"/>
      </w:pPr>
      <w:r>
        <w:t>Anti-misread note</w:t>
      </w:r>
    </w:p>
    <w:tbl>
      <w:tblPr>
        <w:tblStyle w:val="TableGrid"/>
        <w:tblW w:type="auto" w:w="0"/>
        <w:jc w:val="center"/>
        <w:tblLook w:firstColumn="1" w:firstRow="1" w:lastColumn="0" w:lastRow="0" w:noHBand="0" w:noVBand="1" w:val="04A0"/>
      </w:tblPr>
      <w:tblGrid>
        <w:gridCol w:w="5112"/>
        <w:gridCol w:w="5112"/>
      </w:tblGrid>
      <w:tr>
        <w:tc>
          <w:tcPr>
            <w:tcW w:type="dxa" w:w="4680"/>
            <w:vAlign w:val="top"/>
            <w:shd w:fill="D9EAF7"/>
          </w:tcPr>
          <w:p>
            <w:pPr>
              <w:spacing w:after="0"/>
            </w:pPr>
            <w:r/>
            <w:r>
              <w:rPr>
                <w:rFonts w:ascii="Liberation Serif" w:hAnsi="Liberation Serif" w:eastAsia="Liberation Serif"/>
                <w:b/>
                <w:sz w:val="16"/>
              </w:rPr>
              <w:t>This paper does not propose</w:t>
            </w:r>
          </w:p>
        </w:tc>
        <w:tc>
          <w:tcPr>
            <w:tcW w:type="dxa" w:w="4680"/>
            <w:vAlign w:val="top"/>
            <w:shd w:fill="D9EAF7"/>
          </w:tcPr>
          <w:p>
            <w:pPr>
              <w:spacing w:after="0"/>
            </w:pPr>
            <w:r/>
            <w:r>
              <w:rPr>
                <w:rFonts w:ascii="Liberation Serif" w:hAnsi="Liberation Serif" w:eastAsia="Liberation Serif"/>
                <w:b/>
                <w:sz w:val="16"/>
              </w:rPr>
              <w:t>This paper does propose</w:t>
            </w:r>
          </w:p>
        </w:tc>
      </w:tr>
      <w:tr>
        <w:tc>
          <w:tcPr>
            <w:tcW w:type="dxa" w:w="4680"/>
            <w:vAlign w:val="top"/>
          </w:tcPr>
          <w:p>
            <w:pPr>
              <w:spacing w:after="0"/>
            </w:pPr>
            <w:r/>
            <w:r>
              <w:rPr>
                <w:rFonts w:ascii="Liberation Serif" w:hAnsi="Liberation Serif" w:eastAsia="Liberation Serif"/>
                <w:b w:val="0"/>
                <w:sz w:val="16"/>
              </w:rPr>
              <w:t>that herds were driven into the central enclosures for mass slaughter</w:t>
            </w:r>
          </w:p>
        </w:tc>
        <w:tc>
          <w:tcPr>
            <w:tcW w:type="dxa" w:w="4680"/>
            <w:vAlign w:val="top"/>
          </w:tcPr>
          <w:p>
            <w:pPr>
              <w:spacing w:after="0"/>
            </w:pPr>
            <w:r/>
            <w:r>
              <w:rPr>
                <w:rFonts w:ascii="Liberation Serif" w:hAnsi="Liberation Serif" w:eastAsia="Liberation Serif"/>
                <w:b w:val="0"/>
                <w:sz w:val="16"/>
              </w:rPr>
              <w:t>that first perceived wealth created a new risk: an address believed worth attacking</w:t>
            </w:r>
          </w:p>
        </w:tc>
      </w:tr>
      <w:tr>
        <w:tc>
          <w:tcPr>
            <w:tcW w:type="dxa" w:w="4680"/>
            <w:vAlign w:val="top"/>
          </w:tcPr>
          <w:p>
            <w:pPr>
              <w:spacing w:after="0"/>
            </w:pPr>
            <w:r/>
            <w:r>
              <w:rPr>
                <w:rFonts w:ascii="Liberation Serif" w:hAnsi="Liberation Serif" w:eastAsia="Liberation Serif"/>
                <w:b w:val="0"/>
                <w:sz w:val="16"/>
              </w:rPr>
              <w:t>that T-pillars were fencing posts, net anchors, or simple herd guides</w:t>
            </w:r>
          </w:p>
        </w:tc>
        <w:tc>
          <w:tcPr>
            <w:tcW w:type="dxa" w:w="4680"/>
            <w:vAlign w:val="top"/>
          </w:tcPr>
          <w:p>
            <w:pPr>
              <w:spacing w:after="0"/>
            </w:pPr>
            <w:r/>
            <w:r>
              <w:rPr>
                <w:rFonts w:ascii="Liberation Serif" w:hAnsi="Liberation Serif" w:eastAsia="Liberation Serif"/>
                <w:b w:val="0"/>
                <w:sz w:val="16"/>
              </w:rPr>
              <w:t>that ritual can make deterrence, warning memory, guest roles, and consequence work</w:t>
            </w:r>
          </w:p>
        </w:tc>
      </w:tr>
      <w:tr>
        <w:tc>
          <w:tcPr>
            <w:tcW w:type="dxa" w:w="4680"/>
            <w:vAlign w:val="top"/>
          </w:tcPr>
          <w:p>
            <w:pPr>
              <w:spacing w:after="0"/>
            </w:pPr>
            <w:r/>
            <w:r>
              <w:rPr>
                <w:rFonts w:ascii="Liberation Serif" w:hAnsi="Liberation Serif" w:eastAsia="Liberation Serif"/>
                <w:b w:val="0"/>
                <w:sz w:val="16"/>
              </w:rPr>
              <w:t>that the site captured, enslaved, administered, or regulated outsiders as labour</w:t>
            </w:r>
          </w:p>
        </w:tc>
        <w:tc>
          <w:tcPr>
            <w:tcW w:type="dxa" w:w="4680"/>
            <w:vAlign w:val="top"/>
          </w:tcPr>
          <w:p>
            <w:pPr>
              <w:spacing w:after="0"/>
            </w:pPr>
            <w:r/>
            <w:r>
              <w:rPr>
                <w:rFonts w:ascii="Liberation Serif" w:hAnsi="Liberation Serif" w:eastAsia="Liberation Serif"/>
                <w:b w:val="0"/>
                <w:sz w:val="16"/>
              </w:rPr>
              <w:t>that outsiders are safer for the site when converted into guests, witnesses, allies, warned rivals, or failed attackers</w:t>
            </w:r>
          </w:p>
        </w:tc>
      </w:tr>
      <w:tr>
        <w:tc>
          <w:tcPr>
            <w:tcW w:type="dxa" w:w="4680"/>
            <w:vAlign w:val="top"/>
          </w:tcPr>
          <w:p>
            <w:pPr>
              <w:spacing w:after="0"/>
            </w:pPr>
            <w:r/>
            <w:r>
              <w:rPr>
                <w:rFonts w:ascii="Liberation Serif" w:hAnsi="Liberation Serif" w:eastAsia="Liberation Serif"/>
                <w:b w:val="0"/>
                <w:sz w:val="16"/>
              </w:rPr>
              <w:t>that the central enclosures were combat chambers</w:t>
            </w:r>
          </w:p>
        </w:tc>
        <w:tc>
          <w:tcPr>
            <w:tcW w:type="dxa" w:w="4680"/>
            <w:vAlign w:val="top"/>
          </w:tcPr>
          <w:p>
            <w:pPr>
              <w:spacing w:after="0"/>
            </w:pPr>
            <w:r/>
            <w:r>
              <w:rPr>
                <w:rFonts w:ascii="Liberation Serif" w:hAnsi="Liberation Serif" w:eastAsia="Liberation Serif"/>
                <w:b w:val="0"/>
                <w:sz w:val="16"/>
              </w:rPr>
              <w:t>that central enclosures are the ritual core and any tactical layer belongs mainly to approaches and thresholds</w:t>
            </w:r>
          </w:p>
        </w:tc>
      </w:tr>
      <w:tr>
        <w:tc>
          <w:tcPr>
            <w:tcW w:type="dxa" w:w="4680"/>
            <w:vAlign w:val="top"/>
          </w:tcPr>
          <w:p>
            <w:pPr>
              <w:spacing w:after="0"/>
            </w:pPr>
            <w:r/>
            <w:r>
              <w:rPr>
                <w:rFonts w:ascii="Liberation Serif" w:hAnsi="Liberation Serif" w:eastAsia="Liberation Serif"/>
                <w:b w:val="0"/>
                <w:sz w:val="16"/>
              </w:rPr>
              <w:t>that large storage areas must already be proven for raider-risk to exist</w:t>
            </w:r>
          </w:p>
        </w:tc>
        <w:tc>
          <w:tcPr>
            <w:tcW w:type="dxa" w:w="4680"/>
            <w:vAlign w:val="top"/>
          </w:tcPr>
          <w:p>
            <w:pPr>
              <w:spacing w:after="0"/>
            </w:pPr>
            <w:r/>
            <w:r>
              <w:rPr>
                <w:rFonts w:ascii="Liberation Serif" w:hAnsi="Liberation Serif" w:eastAsia="Liberation Serif"/>
                <w:b w:val="0"/>
                <w:sz w:val="16"/>
              </w:rPr>
              <w:t>that perceived wealth, reputation, seasonal expectation, and visible success can be enough to attract danger</w:t>
            </w:r>
          </w:p>
        </w:tc>
      </w:tr>
      <w:tr>
        <w:tc>
          <w:tcPr>
            <w:tcW w:type="dxa" w:w="4680"/>
            <w:vAlign w:val="top"/>
          </w:tcPr>
          <w:p>
            <w:pPr>
              <w:spacing w:after="0"/>
            </w:pPr>
            <w:r/>
            <w:r>
              <w:rPr>
                <w:rFonts w:ascii="Liberation Serif" w:hAnsi="Liberation Serif" w:eastAsia="Liberation Serif"/>
                <w:b w:val="0"/>
                <w:sz w:val="16"/>
              </w:rPr>
              <w:t>that no raid proof is needed</w:t>
            </w:r>
          </w:p>
        </w:tc>
        <w:tc>
          <w:tcPr>
            <w:tcW w:type="dxa" w:w="4680"/>
            <w:vAlign w:val="top"/>
          </w:tcPr>
          <w:p>
            <w:pPr>
              <w:spacing w:after="0"/>
            </w:pPr>
            <w:r/>
            <w:r>
              <w:rPr>
                <w:rFonts w:ascii="Liberation Serif" w:hAnsi="Liberation Serif" w:eastAsia="Liberation Serif"/>
                <w:b w:val="0"/>
                <w:sz w:val="16"/>
              </w:rPr>
              <w:t>that direct raid proof is absent and speculative mechanisms must remain in rank</w:t>
            </w:r>
          </w:p>
        </w:tc>
      </w:tr>
    </w:tbl>
    <w:p>
      <w:pPr>
        <w:spacing w:after="20"/>
      </w:pPr>
    </w:p>
    <w:p>
      <w:pPr>
        <w:pStyle w:val="Heading1"/>
      </w:pPr>
      <w:r>
        <w:t>Claim status and rank discipline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top"/>
            <w:shd w:fill="D9EAF7"/>
          </w:tcPr>
          <w:p>
            <w:pPr>
              <w:spacing w:after="0"/>
            </w:pPr>
            <w:r/>
            <w:r>
              <w:rPr>
                <w:rFonts w:ascii="Liberation Serif" w:hAnsi="Liberation Serif" w:eastAsia="Liberation Serif"/>
                <w:b/>
                <w:sz w:val="15"/>
              </w:rPr>
              <w:t>Rank</w:t>
            </w:r>
          </w:p>
        </w:tc>
        <w:tc>
          <w:tcPr>
            <w:tcW w:type="dxa" w:w="2952"/>
            <w:vAlign w:val="top"/>
            <w:shd w:fill="D9EAF7"/>
          </w:tcPr>
          <w:p>
            <w:pPr>
              <w:spacing w:after="0"/>
            </w:pPr>
            <w:r/>
            <w:r>
              <w:rPr>
                <w:rFonts w:ascii="Liberation Serif" w:hAnsi="Liberation Serif" w:eastAsia="Liberation Serif"/>
                <w:b/>
                <w:sz w:val="15"/>
              </w:rPr>
              <w:t>Function</w:t>
            </w:r>
          </w:p>
        </w:tc>
        <w:tc>
          <w:tcPr>
            <w:tcW w:type="dxa" w:w="2736"/>
            <w:vAlign w:val="top"/>
            <w:shd w:fill="D9EAF7"/>
          </w:tcPr>
          <w:p>
            <w:pPr>
              <w:spacing w:after="0"/>
            </w:pPr>
            <w:r/>
            <w:r>
              <w:rPr>
                <w:rFonts w:ascii="Liberation Serif" w:hAnsi="Liberation Serif" w:eastAsia="Liberation Serif"/>
                <w:b/>
                <w:sz w:val="15"/>
              </w:rPr>
              <w:t>Evidence status</w:t>
            </w:r>
          </w:p>
        </w:tc>
        <w:tc>
          <w:tcPr>
            <w:tcW w:type="dxa" w:w="2088"/>
            <w:vAlign w:val="top"/>
            <w:shd w:fill="D9EAF7"/>
          </w:tcPr>
          <w:p>
            <w:pPr>
              <w:spacing w:after="0"/>
            </w:pPr>
            <w:r/>
            <w:r>
              <w:rPr>
                <w:rFonts w:ascii="Liberation Serif" w:hAnsi="Liberation Serif" w:eastAsia="Liberation Serif"/>
                <w:b/>
                <w:sz w:val="15"/>
              </w:rPr>
              <w:t>Use in v0.82</w:t>
            </w:r>
          </w:p>
        </w:tc>
      </w:tr>
      <w:tr>
        <w:tc>
          <w:tcPr>
            <w:tcW w:type="dxa" w:w="1584"/>
            <w:vAlign w:val="top"/>
          </w:tcPr>
          <w:p>
            <w:pPr>
              <w:spacing w:after="0"/>
            </w:pPr>
            <w:r/>
            <w:r>
              <w:rPr>
                <w:rFonts w:ascii="Liberation Serif" w:hAnsi="Liberation Serif" w:eastAsia="Liberation Serif"/>
                <w:b w:val="0"/>
                <w:sz w:val="15"/>
              </w:rPr>
              <w:t>Core</w:t>
            </w:r>
          </w:p>
        </w:tc>
        <w:tc>
          <w:tcPr>
            <w:tcW w:type="dxa" w:w="2952"/>
            <w:vAlign w:val="top"/>
          </w:tcPr>
          <w:p>
            <w:pPr>
              <w:spacing w:after="0"/>
            </w:pPr>
            <w:r/>
            <w:r>
              <w:rPr>
                <w:rFonts w:ascii="Liberation Serif" w:hAnsi="Liberation Serif" w:eastAsia="Liberation Serif"/>
                <w:b w:val="0"/>
                <w:sz w:val="15"/>
              </w:rPr>
              <w:t>Ceremonial gathering, feasting, death practice, T-pillars as stone persons, social identity, regional symbolic network.</w:t>
            </w:r>
          </w:p>
        </w:tc>
        <w:tc>
          <w:tcPr>
            <w:tcW w:type="dxa" w:w="2736"/>
            <w:vAlign w:val="top"/>
          </w:tcPr>
          <w:p>
            <w:pPr>
              <w:spacing w:after="0"/>
            </w:pPr>
            <w:r/>
            <w:r>
              <w:rPr>
                <w:rFonts w:ascii="Liberation Serif" w:hAnsi="Liberation Serif" w:eastAsia="Liberation Serif"/>
                <w:b w:val="0"/>
                <w:sz w:val="15"/>
              </w:rPr>
              <w:t>Strongest fit to present published descriptions.</w:t>
            </w:r>
          </w:p>
        </w:tc>
        <w:tc>
          <w:tcPr>
            <w:tcW w:type="dxa" w:w="2088"/>
            <w:vAlign w:val="top"/>
          </w:tcPr>
          <w:p>
            <w:pPr>
              <w:spacing w:after="0"/>
            </w:pPr>
            <w:r/>
            <w:r>
              <w:rPr>
                <w:rFonts w:ascii="Liberation Serif" w:hAnsi="Liberation Serif" w:eastAsia="Liberation Serif"/>
                <w:b w:val="0"/>
                <w:sz w:val="15"/>
              </w:rPr>
              <w:t>Main frame. Not replaced.</w:t>
            </w:r>
          </w:p>
        </w:tc>
      </w:tr>
      <w:tr>
        <w:tc>
          <w:tcPr>
            <w:tcW w:type="dxa" w:w="1584"/>
            <w:vAlign w:val="top"/>
          </w:tcPr>
          <w:p>
            <w:pPr>
              <w:spacing w:after="0"/>
            </w:pPr>
            <w:r/>
            <w:r>
              <w:rPr>
                <w:rFonts w:ascii="Liberation Serif" w:hAnsi="Liberation Serif" w:eastAsia="Liberation Serif"/>
                <w:b w:val="0"/>
                <w:sz w:val="15"/>
              </w:rPr>
              <w:t>Central functional layer</w:t>
            </w:r>
          </w:p>
        </w:tc>
        <w:tc>
          <w:tcPr>
            <w:tcW w:type="dxa" w:w="2952"/>
            <w:vAlign w:val="top"/>
          </w:tcPr>
          <w:p>
            <w:pPr>
              <w:spacing w:after="0"/>
            </w:pPr>
            <w:r/>
            <w:r>
              <w:rPr>
                <w:rFonts w:ascii="Liberation Serif" w:hAnsi="Liberation Serif" w:eastAsia="Liberation Serif"/>
                <w:b w:val="0"/>
                <w:sz w:val="15"/>
              </w:rPr>
              <w:t>First-perceived-wealth raider-risk deterrence: warning, guest-role conversion, awe, memory, rare failed attack.</w:t>
            </w:r>
          </w:p>
        </w:tc>
        <w:tc>
          <w:tcPr>
            <w:tcW w:type="dxa" w:w="2736"/>
            <w:vAlign w:val="top"/>
          </w:tcPr>
          <w:p>
            <w:pPr>
              <w:spacing w:after="0"/>
            </w:pPr>
            <w:r/>
            <w:r>
              <w:rPr>
                <w:rFonts w:ascii="Liberation Serif" w:hAnsi="Liberation Serif" w:eastAsia="Liberation Serif"/>
                <w:b w:val="0"/>
                <w:sz w:val="15"/>
              </w:rPr>
              <w:t>Compatible and testable, but direct raid proof is absent.</w:t>
            </w:r>
          </w:p>
        </w:tc>
        <w:tc>
          <w:tcPr>
            <w:tcW w:type="dxa" w:w="2088"/>
            <w:vAlign w:val="top"/>
          </w:tcPr>
          <w:p>
            <w:pPr>
              <w:spacing w:after="0"/>
            </w:pPr>
            <w:r/>
            <w:r>
              <w:rPr>
                <w:rFonts w:ascii="Liberation Serif" w:hAnsi="Liberation Serif" w:eastAsia="Liberation Serif"/>
                <w:b w:val="0"/>
                <w:sz w:val="15"/>
              </w:rPr>
              <w:t>Main new thesis layer.</w:t>
            </w:r>
          </w:p>
        </w:tc>
      </w:tr>
      <w:tr>
        <w:tc>
          <w:tcPr>
            <w:tcW w:type="dxa" w:w="1584"/>
            <w:vAlign w:val="top"/>
          </w:tcPr>
          <w:p>
            <w:pPr>
              <w:spacing w:after="0"/>
            </w:pPr>
            <w:r/>
            <w:r>
              <w:rPr>
                <w:rFonts w:ascii="Liberation Serif" w:hAnsi="Liberation Serif" w:eastAsia="Liberation Serif"/>
                <w:b w:val="0"/>
                <w:sz w:val="15"/>
              </w:rPr>
              <w:t>Supporting competence layer</w:t>
            </w:r>
          </w:p>
        </w:tc>
        <w:tc>
          <w:tcPr>
            <w:tcW w:type="dxa" w:w="2952"/>
            <w:vAlign w:val="top"/>
          </w:tcPr>
          <w:p>
            <w:pPr>
              <w:spacing w:after="0"/>
            </w:pPr>
            <w:r/>
            <w:r>
              <w:rPr>
                <w:rFonts w:ascii="Liberation Serif" w:hAnsi="Liberation Serif" w:eastAsia="Liberation Serif"/>
                <w:b w:val="0"/>
                <w:sz w:val="15"/>
              </w:rPr>
              <w:t>Hunting, feasting, animal danger, food processing, coordinated movement, large gatherings.</w:t>
            </w:r>
          </w:p>
        </w:tc>
        <w:tc>
          <w:tcPr>
            <w:tcW w:type="dxa" w:w="2736"/>
            <w:vAlign w:val="top"/>
          </w:tcPr>
          <w:p>
            <w:pPr>
              <w:spacing w:after="0"/>
            </w:pPr>
            <w:r/>
            <w:r>
              <w:rPr>
                <w:rFonts w:ascii="Liberation Serif" w:hAnsi="Liberation Serif" w:eastAsia="Liberation Serif"/>
                <w:b w:val="0"/>
                <w:sz w:val="15"/>
              </w:rPr>
              <w:t>Supported by fauna, aurochs hunting lesion, gazelle seasonality questions, and grinding/pounding tools.</w:t>
            </w:r>
          </w:p>
        </w:tc>
        <w:tc>
          <w:tcPr>
            <w:tcW w:type="dxa" w:w="2088"/>
            <w:vAlign w:val="top"/>
          </w:tcPr>
          <w:p>
            <w:pPr>
              <w:spacing w:after="0"/>
            </w:pPr>
            <w:r/>
            <w:r>
              <w:rPr>
                <w:rFonts w:ascii="Liberation Serif" w:hAnsi="Liberation Serif" w:eastAsia="Liberation Serif"/>
                <w:b w:val="0"/>
                <w:sz w:val="15"/>
              </w:rPr>
              <w:t>Shows competence. Does not make an animal-trap model.</w:t>
            </w:r>
          </w:p>
        </w:tc>
      </w:tr>
      <w:tr>
        <w:tc>
          <w:tcPr>
            <w:tcW w:type="dxa" w:w="1584"/>
            <w:vAlign w:val="top"/>
          </w:tcPr>
          <w:p>
            <w:pPr>
              <w:spacing w:after="0"/>
            </w:pPr>
            <w:r/>
            <w:r>
              <w:rPr>
                <w:rFonts w:ascii="Liberation Serif" w:hAnsi="Liberation Serif" w:eastAsia="Liberation Serif"/>
                <w:b w:val="0"/>
                <w:sz w:val="15"/>
              </w:rPr>
              <w:t>Speculative mechanisms</w:t>
            </w:r>
          </w:p>
        </w:tc>
        <w:tc>
          <w:tcPr>
            <w:tcW w:type="dxa" w:w="2952"/>
            <w:vAlign w:val="top"/>
          </w:tcPr>
          <w:p>
            <w:pPr>
              <w:spacing w:after="0"/>
            </w:pPr>
            <w:r/>
            <w:r>
              <w:rPr>
                <w:rFonts w:ascii="Liberation Serif" w:hAnsi="Liberation Serif" w:eastAsia="Liberation Serif"/>
                <w:b w:val="0"/>
                <w:sz w:val="15"/>
              </w:rPr>
              <w:t>Pantry lure, delay-and-drop, reroute, roof or upper-surface failure, predator bait, mortuary crisis roles.</w:t>
            </w:r>
          </w:p>
        </w:tc>
        <w:tc>
          <w:tcPr>
            <w:tcW w:type="dxa" w:w="2736"/>
            <w:vAlign w:val="top"/>
          </w:tcPr>
          <w:p>
            <w:pPr>
              <w:spacing w:after="0"/>
            </w:pPr>
            <w:r/>
            <w:r>
              <w:rPr>
                <w:rFonts w:ascii="Liberation Serif" w:hAnsi="Liberation Serif" w:eastAsia="Liberation Serif"/>
                <w:b w:val="0"/>
                <w:sz w:val="15"/>
              </w:rPr>
              <w:t>Unproven. Requires route, timber, repair, scatter, and context testing.</w:t>
            </w:r>
          </w:p>
        </w:tc>
        <w:tc>
          <w:tcPr>
            <w:tcW w:type="dxa" w:w="2088"/>
            <w:vAlign w:val="top"/>
          </w:tcPr>
          <w:p>
            <w:pPr>
              <w:spacing w:after="0"/>
            </w:pPr>
            <w:r/>
            <w:r>
              <w:rPr>
                <w:rFonts w:ascii="Liberation Serif" w:hAnsi="Liberation Serif" w:eastAsia="Liberation Serif"/>
                <w:b w:val="0"/>
                <w:sz w:val="15"/>
              </w:rPr>
              <w:t>Mechanism proposals only.</w:t>
            </w:r>
          </w:p>
        </w:tc>
      </w:tr>
    </w:tbl>
    <w:p>
      <w:pPr>
        <w:spacing w:after="20"/>
      </w:pPr>
    </w:p>
    <w:p>
      <w:pPr>
        <w:pStyle w:val="Heading1"/>
      </w:pPr>
      <w:r>
        <w:t>Mogri method used here</w:t>
      </w:r>
    </w:p>
    <w:p>
      <w:pPr>
        <w:spacing w:after="100"/>
      </w:pPr>
      <w:r>
        <w:t>Mogri means the unknowns that matter. Demogrify means to know, reveal, expose, or resolve some or all of those unknowns. Mogrification is the making, preserving, restoring, or recognition of unknowns that matter; it can be intentional, accidental, or academic. In the narrower operational sense, to mogrify is to occult knowns that matter. In academic use, mogrification can remove certainty that evidence has not earned.</w:t>
      </w:r>
    </w:p>
    <w:p>
      <w:pPr>
        <w:spacing w:after="100"/>
      </w:pPr>
      <w:r>
        <w:t>This method guards against false demogrification. v0.7 was falsely demogrified into a gazelle mega-trap. v0.8 was falsely demogrified into a person-catcher or labour-control machine. v0.81 still gave actual stores too much weight. v0.82 keeps the object fixed: the thesis concerns warning, deterrence, perceived wealth, and survival advantage at the farming hinge, inside a ritual-social system.</w:t>
      </w:r>
    </w:p>
    <w:tbl>
      <w:tblPr>
        <w:tblStyle w:val="TableGrid"/>
        <w:tblW w:type="auto" w:w="0"/>
        <w:jc w:val="center"/>
        <w:tblLook w:firstColumn="1" w:firstRow="1" w:lastColumn="0" w:lastRow="0" w:noHBand="0" w:noVBand="1" w:val="04A0"/>
      </w:tblPr>
      <w:tblGrid>
        <w:gridCol w:w="5112"/>
        <w:gridCol w:w="5112"/>
      </w:tblGrid>
      <w:tr>
        <w:tc>
          <w:tcPr>
            <w:tcW w:type="dxa" w:w="2232"/>
            <w:vAlign w:val="top"/>
            <w:shd w:fill="D9EAF7"/>
          </w:tcPr>
          <w:p>
            <w:pPr>
              <w:spacing w:after="0"/>
            </w:pPr>
            <w:r/>
            <w:r>
              <w:rPr>
                <w:rFonts w:ascii="Liberation Serif" w:hAnsi="Liberation Serif" w:eastAsia="Liberation Serif"/>
                <w:b/>
                <w:sz w:val="16"/>
              </w:rPr>
              <w:t>Term</w:t>
            </w:r>
          </w:p>
        </w:tc>
        <w:tc>
          <w:tcPr>
            <w:tcW w:type="dxa" w:w="7128"/>
            <w:vAlign w:val="top"/>
            <w:shd w:fill="D9EAF7"/>
          </w:tcPr>
          <w:p>
            <w:pPr>
              <w:spacing w:after="0"/>
            </w:pPr>
            <w:r/>
            <w:r>
              <w:rPr>
                <w:rFonts w:ascii="Liberation Serif" w:hAnsi="Liberation Serif" w:eastAsia="Liberation Serif"/>
                <w:b/>
                <w:sz w:val="16"/>
              </w:rPr>
              <w:t>Use in this paper</w:t>
            </w:r>
          </w:p>
        </w:tc>
      </w:tr>
      <w:tr>
        <w:tc>
          <w:tcPr>
            <w:tcW w:type="dxa" w:w="2232"/>
            <w:vAlign w:val="top"/>
          </w:tcPr>
          <w:p>
            <w:pPr>
              <w:spacing w:after="0"/>
            </w:pPr>
            <w:r/>
            <w:r>
              <w:rPr>
                <w:rFonts w:ascii="Liberation Serif" w:hAnsi="Liberation Serif" w:eastAsia="Liberation Serif"/>
                <w:b w:val="0"/>
                <w:sz w:val="16"/>
              </w:rPr>
              <w:t>Demogrified</w:t>
            </w:r>
          </w:p>
        </w:tc>
        <w:tc>
          <w:tcPr>
            <w:tcW w:type="dxa" w:w="7128"/>
            <w:vAlign w:val="top"/>
          </w:tcPr>
          <w:p>
            <w:pPr>
              <w:spacing w:after="0"/>
            </w:pPr>
            <w:r/>
            <w:r>
              <w:rPr>
                <w:rFonts w:ascii="Liberation Serif" w:hAnsi="Liberation Serif" w:eastAsia="Liberation Serif"/>
                <w:b w:val="0"/>
                <w:sz w:val="16"/>
              </w:rPr>
              <w:t>Supported enough to carry weight: ceremonial gathering, food processing, hunting, skull handling, animal imagery.</w:t>
            </w:r>
          </w:p>
        </w:tc>
      </w:tr>
      <w:tr>
        <w:tc>
          <w:tcPr>
            <w:tcW w:type="dxa" w:w="2232"/>
            <w:vAlign w:val="top"/>
          </w:tcPr>
          <w:p>
            <w:pPr>
              <w:spacing w:after="0"/>
            </w:pPr>
            <w:r/>
            <w:r>
              <w:rPr>
                <w:rFonts w:ascii="Liberation Serif" w:hAnsi="Liberation Serif" w:eastAsia="Liberation Serif"/>
                <w:b w:val="0"/>
                <w:sz w:val="16"/>
              </w:rPr>
              <w:t>Still mogri</w:t>
            </w:r>
          </w:p>
        </w:tc>
        <w:tc>
          <w:tcPr>
            <w:tcW w:type="dxa" w:w="7128"/>
            <w:vAlign w:val="top"/>
          </w:tcPr>
          <w:p>
            <w:pPr>
              <w:spacing w:after="0"/>
            </w:pPr>
            <w:r/>
            <w:r>
              <w:rPr>
                <w:rFonts w:ascii="Liberation Serif" w:hAnsi="Liberation Serif" w:eastAsia="Liberation Serif"/>
                <w:b w:val="0"/>
                <w:sz w:val="16"/>
              </w:rPr>
              <w:t>Unknowns that would change rank: timber architecture, routes, stores, visitor origins, route stress, repair, perceived wealth signals.</w:t>
            </w:r>
          </w:p>
        </w:tc>
      </w:tr>
      <w:tr>
        <w:tc>
          <w:tcPr>
            <w:tcW w:type="dxa" w:w="2232"/>
            <w:vAlign w:val="top"/>
          </w:tcPr>
          <w:p>
            <w:pPr>
              <w:spacing w:after="0"/>
            </w:pPr>
            <w:r/>
            <w:r>
              <w:rPr>
                <w:rFonts w:ascii="Liberation Serif" w:hAnsi="Liberation Serif" w:eastAsia="Liberation Serif"/>
                <w:b w:val="0"/>
                <w:sz w:val="16"/>
              </w:rPr>
              <w:t>Academic mogrification</w:t>
            </w:r>
          </w:p>
        </w:tc>
        <w:tc>
          <w:tcPr>
            <w:tcW w:type="dxa" w:w="7128"/>
            <w:vAlign w:val="top"/>
          </w:tcPr>
          <w:p>
            <w:pPr>
              <w:spacing w:after="0"/>
            </w:pPr>
            <w:r/>
            <w:r>
              <w:rPr>
                <w:rFonts w:ascii="Liberation Serif" w:hAnsi="Liberation Serif" w:eastAsia="Liberation Serif"/>
                <w:b w:val="0"/>
                <w:sz w:val="16"/>
              </w:rPr>
              <w:t>Remove unsupported certainty. Lack of large storage does not erase perceived wealth. Ritual does not erase use. Use does not erase ritual.</w:t>
            </w:r>
          </w:p>
        </w:tc>
      </w:tr>
      <w:tr>
        <w:tc>
          <w:tcPr>
            <w:tcW w:type="dxa" w:w="2232"/>
            <w:vAlign w:val="top"/>
          </w:tcPr>
          <w:p>
            <w:pPr>
              <w:spacing w:after="0"/>
            </w:pPr>
            <w:r/>
            <w:r>
              <w:rPr>
                <w:rFonts w:ascii="Liberation Serif" w:hAnsi="Liberation Serif" w:eastAsia="Liberation Serif"/>
                <w:b w:val="0"/>
                <w:sz w:val="16"/>
              </w:rPr>
              <w:t>Mogri lock</w:t>
            </w:r>
          </w:p>
        </w:tc>
        <w:tc>
          <w:tcPr>
            <w:tcW w:type="dxa" w:w="7128"/>
            <w:vAlign w:val="top"/>
          </w:tcPr>
          <w:p>
            <w:pPr>
              <w:spacing w:after="0"/>
            </w:pPr>
            <w:r/>
            <w:r>
              <w:rPr>
                <w:rFonts w:ascii="Liberation Serif" w:hAnsi="Liberation Serif" w:eastAsia="Liberation Serif"/>
                <w:b w:val="0"/>
                <w:sz w:val="16"/>
              </w:rPr>
              <w:t>One known role cannot swallow the others. Feasting is not proof against warning. Warning is not proof against ritual.</w:t>
            </w:r>
          </w:p>
        </w:tc>
      </w:tr>
    </w:tbl>
    <w:p>
      <w:pPr>
        <w:spacing w:after="20"/>
      </w:pPr>
    </w:p>
    <w:p>
      <w:pPr>
        <w:pStyle w:val="Heading1"/>
      </w:pPr>
      <w:r>
        <w:t>1. Baseline: site, dates, and main frame</w:t>
      </w:r>
    </w:p>
    <w:p>
      <w:pPr>
        <w:spacing w:after="100"/>
      </w:pPr>
      <w: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100"/>
      </w:pPr>
      <w:r>
        <w:t>The cereal-processing study gives measurable anchors: monumental round-oval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spacing w:after="100"/>
      </w:pPr>
      <w:r>
        <w:t>Version 0.82 accepts the ceremonial and feast frame as central. It asks whether that same system also helped solve a new danger: perceived wealth in a world where some neighbours still lived with high seasonal risk.</w:t>
      </w:r>
    </w:p>
    <w:p>
      <w:pPr>
        <w:pStyle w:val="Heading1"/>
      </w:pPr>
      <w:r>
        <w:t>2. Hunting was not the broken system</w:t>
      </w:r>
    </w:p>
    <w:p>
      <w:pPr>
        <w:spacing w:after="100"/>
      </w:pPr>
      <w:r>
        <w:t>People already knew how to hunt. They knew animal routes, seasonal timing, danger, tools, group movement, carcass processing, and feast logistics. The aurochs humerus with an embedded flint point, together with faunal and seasonality work, supports real hunting competence. [3], [4], [7], [8]</w:t>
      </w:r>
    </w:p>
    <w:p>
      <w:pPr>
        <w:spacing w:after="100"/>
      </w:pPr>
      <w:r>
        <w:t>That competence matters, but it is not the thesis object. The site is not proposed as a fix for failed hunting. Hunting and feasting show that the builders could coordinate bodies, timing, food, risk, and attention. That competence could be reused in human threat settings, but the new problem was perceived fixed wealth: food that cannot run away, stores or feast materials people believe can be found, sunk labour, and social reputation tied to place.</w:t>
      </w:r>
    </w:p>
    <w:p>
      <w:pPr>
        <w:pStyle w:val="Heading1"/>
      </w:pPr>
      <w:r>
        <w:t>3. The first-perceived-wealth raider problem</w:t>
      </w:r>
    </w:p>
    <w:p>
      <w:pPr>
        <w:spacing w:after="100"/>
      </w:pPr>
      <w:r>
        <w:t>Early food production was not an instant energy victory. Before mature crops, stable storage, known processing routines, defended stores, and reliable labour cycles, food production could cost more than it returned. Groups may have needed hunting, gathering, wild cereal collection, nut harvest, water knowledge, exchange, and mobility as backup while also investing in fixed food work. This is the energy hump. [13], [14]</w:t>
      </w:r>
    </w:p>
    <w:p>
      <w:pPr>
        <w:spacing w:after="100"/>
      </w:pPr>
      <w:r>
        <w:t>During that hump, a group can become visible before it becomes safe. It can have enough food events, tools, bone, water, people, and reputation to attract attention, but not enough population or hardened village form to absorb a bad raid. The raid target may be real stores, but it may also be perceived stores, feast expectation, ritual wealth, or the belief that the ridge people can be forced to give food.</w:t>
      </w:r>
    </w:p>
    <w:p>
      <w:pPr>
        <w:spacing w:after="100"/>
      </w:pPr>
      <w:r>
        <w:t>The threat does not need constant war. It needs rare desperation with high consequence. One failed winter, failed hunt, drought, disease event, or broken exchange relation nearby could turn hungry outsiders into raiders. If that attack fails in a memorable way, the lesson can travel.</w:t>
      </w:r>
    </w:p>
    <w:p>
      <w:pPr>
        <w:pStyle w:val="Heading1"/>
      </w:pPr>
      <w:r>
        <w:t>4. Ritual is not subterfuge</w:t>
      </w:r>
    </w:p>
    <w:p>
      <w:pPr>
        <w:spacing w:after="100"/>
      </w:pPr>
      <w:r>
        <w:t>The model does not reduce ritual to a trick. It treats ritual, food, death, architecture, animal imagery, stone persons, and deterrence as one operating field. A feast is food and diplomacy. A T-pillar is image, person, authority, and memory anchor. A gathering is ritual and also alliance, witness, warning, exchange, marriage, gossip, and threat reduction.</w:t>
      </w:r>
    </w:p>
    <w:p>
      <w:pPr>
        <w:spacing w:after="100"/>
      </w:pPr>
      <w:r>
        <w:t>The rank table is an analytic device for modern evidence handling. It is not a claim that Pre-Pottery Neolithic people separated ritual, food, danger, memory, and deterrence into departments. In lived practice these roles were probably fused. Ranking helps the paper avoid false demogrification; it does not divide the ancient world into modern office drawers.</w:t>
      </w:r>
    </w:p>
    <w:p>
      <w:pPr>
        <w:pStyle w:val="Heading1"/>
      </w:pPr>
      <w:r>
        <w:t>5. Central enclosures are the ritual core, not the tactical chamber</w:t>
      </w:r>
    </w:p>
    <w:p>
      <w:pPr>
        <w:spacing w:after="100"/>
      </w:pPr>
      <w:r>
        <w:t>The semi-subterranean, inward-facing central enclosures are not treated here as defensive rooms. That criticism is accepted. Their inward focus toward stone persons strengthens the ritual-social core. It does not need to become a combat chamber.</w:t>
      </w:r>
    </w:p>
    <w:p>
      <w:pPr>
        <w:spacing w:after="100"/>
      </w:pPr>
      <w:r>
        <w:t>Any tactical affordance would more likely belong to approaches, thresholds, outer movement routes, terraces, store-adjacent barriers, lost timber, temporary screens, or event structures. The central enclosures may still matter to deterrence as warning theatre: the impressive place where stories, stone persons, feasts, dead, allies, and consequences become believable. But the physical encounter with raiders, if it happened, need not occur inside the central ritual space.</w:t>
      </w:r>
    </w:p>
    <w:p>
      <w:pPr>
        <w:pStyle w:val="Heading1"/>
      </w:pPr>
      <w:r>
        <w:t>6. How warning architecture works</w:t>
      </w:r>
    </w:p>
    <w:p>
      <w:pPr>
        <w:spacing w:after="100"/>
      </w:pPr>
      <w:r>
        <w:t>The site may have given the resident group a survival advantage by shaping decisions before attack. Outsiders could arrive as guests, witnesses, rivals, affines, traders, supplicants, warned enemies, or raiders. The best outcome is conversion before violence. The second-best outcome is a failed raid that becomes warning memory.</w:t>
      </w:r>
    </w:p>
    <w:p>
      <w:pPr>
        <w:spacing w:after="100"/>
      </w:pPr>
      <w:r>
        <w:t>The goal is not to keep raiders. The goal is to stop raids from becoming siege, and to make the cost of attack travel farther than the attackers. One spectacular failure can work for generations. The stone falls once; the story falls many times.</w:t>
      </w:r>
    </w:p>
    <w:p>
      <w:pPr>
        <w:spacing w:after="100"/>
      </w:pPr>
      <w:r>
        <w:t>If attack happens, architecture can shift from welcome to hazard. A visible or scent-linked pantry barrier can delay the front of a raiding line. A route can bunch attackers. Defenders above or beside the approach can release prepared stone loads or follow with clubs, axes, dogs, and reroute pressure. This remains a testable affordance, not a proven event.</w:t>
      </w:r>
    </w:p>
    <w:p>
      <w:pPr>
        <w:pStyle w:val="Heading1"/>
      </w:pPr>
      <w:r>
        <w:t>7. Data spine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top"/>
            <w:shd w:fill="D9EAF7"/>
          </w:tcPr>
          <w:p>
            <w:pPr>
              <w:spacing w:after="0"/>
            </w:pPr>
            <w:r/>
            <w:r>
              <w:rPr>
                <w:rFonts w:ascii="Liberation Serif" w:hAnsi="Liberation Serif" w:eastAsia="Liberation Serif"/>
                <w:b/>
                <w:sz w:val="14"/>
              </w:rPr>
              <w:t>Strand</w:t>
            </w:r>
          </w:p>
        </w:tc>
        <w:tc>
          <w:tcPr>
            <w:tcW w:type="dxa" w:w="3168"/>
            <w:vAlign w:val="top"/>
            <w:shd w:fill="D9EAF7"/>
          </w:tcPr>
          <w:p>
            <w:pPr>
              <w:spacing w:after="0"/>
            </w:pPr>
            <w:r/>
            <w:r>
              <w:rPr>
                <w:rFonts w:ascii="Liberation Serif" w:hAnsi="Liberation Serif" w:eastAsia="Liberation Serif"/>
                <w:b/>
                <w:sz w:val="14"/>
              </w:rPr>
              <w:t>Anchor</w:t>
            </w:r>
          </w:p>
        </w:tc>
        <w:tc>
          <w:tcPr>
            <w:tcW w:type="dxa" w:w="2592"/>
            <w:vAlign w:val="top"/>
            <w:shd w:fill="D9EAF7"/>
          </w:tcPr>
          <w:p>
            <w:pPr>
              <w:spacing w:after="0"/>
            </w:pPr>
            <w:r/>
            <w:r>
              <w:rPr>
                <w:rFonts w:ascii="Liberation Serif" w:hAnsi="Liberation Serif" w:eastAsia="Liberation Serif"/>
                <w:b/>
                <w:sz w:val="14"/>
              </w:rPr>
              <w:t>Supports</w:t>
            </w:r>
          </w:p>
        </w:tc>
        <w:tc>
          <w:tcPr>
            <w:tcW w:type="dxa" w:w="2160"/>
            <w:vAlign w:val="top"/>
            <w:shd w:fill="D9EAF7"/>
          </w:tcPr>
          <w:p>
            <w:pPr>
              <w:spacing w:after="0"/>
            </w:pPr>
            <w:r/>
            <w:r>
              <w:rPr>
                <w:rFonts w:ascii="Liberation Serif" w:hAnsi="Liberation Serif" w:eastAsia="Liberation Serif"/>
                <w:b/>
                <w:sz w:val="14"/>
              </w:rPr>
              <w:t>Limit</w:t>
            </w:r>
          </w:p>
        </w:tc>
      </w:tr>
      <w:tr>
        <w:tc>
          <w:tcPr>
            <w:tcW w:type="dxa" w:w="1440"/>
            <w:vAlign w:val="top"/>
          </w:tcPr>
          <w:p>
            <w:pPr>
              <w:spacing w:after="0"/>
            </w:pPr>
            <w:r/>
            <w:r>
              <w:rPr>
                <w:rFonts w:ascii="Liberation Serif" w:hAnsi="Liberation Serif" w:eastAsia="Liberation Serif"/>
                <w:b w:val="0"/>
                <w:sz w:val="14"/>
              </w:rPr>
              <w:t>Architecture</w:t>
            </w:r>
          </w:p>
        </w:tc>
        <w:tc>
          <w:tcPr>
            <w:tcW w:type="dxa" w:w="3168"/>
            <w:vAlign w:val="top"/>
          </w:tcPr>
          <w:p>
            <w:pPr>
              <w:spacing w:after="0"/>
            </w:pPr>
            <w:r/>
            <w:r>
              <w:rPr>
                <w:rFonts w:ascii="Liberation Serif" w:hAnsi="Liberation Serif" w:eastAsia="Liberation Serif"/>
                <w:b w:val="0"/>
                <w:sz w:val="14"/>
              </w:rPr>
              <w:t>Round-oval buildings c. 10-20 m inner diameter; central pillars up to 5.5 m; benches and wall-set pillars. [1], [2]</w:t>
            </w:r>
          </w:p>
        </w:tc>
        <w:tc>
          <w:tcPr>
            <w:tcW w:type="dxa" w:w="2592"/>
            <w:vAlign w:val="top"/>
          </w:tcPr>
          <w:p>
            <w:pPr>
              <w:spacing w:after="0"/>
            </w:pPr>
            <w:r/>
            <w:r>
              <w:rPr>
                <w:rFonts w:ascii="Liberation Serif" w:hAnsi="Liberation Serif" w:eastAsia="Liberation Serif"/>
                <w:b w:val="0"/>
                <w:sz w:val="14"/>
              </w:rPr>
              <w:t>Gathering, awe, visibility, possible movement shaping.</w:t>
            </w:r>
          </w:p>
        </w:tc>
        <w:tc>
          <w:tcPr>
            <w:tcW w:type="dxa" w:w="2160"/>
            <w:vAlign w:val="top"/>
          </w:tcPr>
          <w:p>
            <w:pPr>
              <w:spacing w:after="0"/>
            </w:pPr>
            <w:r/>
            <w:r>
              <w:rPr>
                <w:rFonts w:ascii="Liberation Serif" w:hAnsi="Liberation Serif" w:eastAsia="Liberation Serif"/>
                <w:b w:val="0"/>
                <w:sz w:val="14"/>
              </w:rPr>
              <w:t>Does not prove tactical use.</w:t>
            </w:r>
          </w:p>
        </w:tc>
      </w:tr>
      <w:tr>
        <w:tc>
          <w:tcPr>
            <w:tcW w:type="dxa" w:w="1440"/>
            <w:vAlign w:val="top"/>
          </w:tcPr>
          <w:p>
            <w:pPr>
              <w:spacing w:after="0"/>
            </w:pPr>
            <w:r/>
            <w:r>
              <w:rPr>
                <w:rFonts w:ascii="Liberation Serif" w:hAnsi="Liberation Serif" w:eastAsia="Liberation Serif"/>
                <w:b w:val="0"/>
                <w:sz w:val="14"/>
              </w:rPr>
              <w:t>Food tools</w:t>
            </w:r>
          </w:p>
        </w:tc>
        <w:tc>
          <w:tcPr>
            <w:tcW w:type="dxa" w:w="3168"/>
            <w:vAlign w:val="top"/>
          </w:tcPr>
          <w:p>
            <w:pPr>
              <w:spacing w:after="0"/>
            </w:pPr>
            <w:r/>
            <w:r>
              <w:rPr>
                <w:rFonts w:ascii="Liberation Serif" w:hAnsi="Liberation Serif" w:eastAsia="Liberation Serif"/>
                <w:b w:val="0"/>
                <w:sz w:val="14"/>
              </w:rPr>
              <w:t>More than 7000 grinding and pounding artifacts, mostly cereal-related. [2]</w:t>
            </w:r>
          </w:p>
        </w:tc>
        <w:tc>
          <w:tcPr>
            <w:tcW w:type="dxa" w:w="2592"/>
            <w:vAlign w:val="top"/>
          </w:tcPr>
          <w:p>
            <w:pPr>
              <w:spacing w:after="0"/>
            </w:pPr>
            <w:r/>
            <w:r>
              <w:rPr>
                <w:rFonts w:ascii="Liberation Serif" w:hAnsi="Liberation Serif" w:eastAsia="Liberation Serif"/>
                <w:b w:val="0"/>
                <w:sz w:val="14"/>
              </w:rPr>
              <w:t>Feasting, labour concentration, perceived fixed-food pressure.</w:t>
            </w:r>
          </w:p>
        </w:tc>
        <w:tc>
          <w:tcPr>
            <w:tcW w:type="dxa" w:w="2160"/>
            <w:vAlign w:val="top"/>
          </w:tcPr>
          <w:p>
            <w:pPr>
              <w:spacing w:after="0"/>
            </w:pPr>
            <w:r/>
            <w:r>
              <w:rPr>
                <w:rFonts w:ascii="Liberation Serif" w:hAnsi="Liberation Serif" w:eastAsia="Liberation Serif"/>
                <w:b w:val="0"/>
                <w:sz w:val="14"/>
              </w:rPr>
              <w:t>Large stores not identified in that study.</w:t>
            </w:r>
          </w:p>
        </w:tc>
      </w:tr>
      <w:tr>
        <w:tc>
          <w:tcPr>
            <w:tcW w:type="dxa" w:w="1440"/>
            <w:vAlign w:val="top"/>
          </w:tcPr>
          <w:p>
            <w:pPr>
              <w:spacing w:after="0"/>
            </w:pPr>
            <w:r/>
            <w:r>
              <w:rPr>
                <w:rFonts w:ascii="Liberation Serif" w:hAnsi="Liberation Serif" w:eastAsia="Liberation Serif"/>
                <w:b w:val="0"/>
                <w:sz w:val="14"/>
              </w:rPr>
              <w:t>Fauna and hunting</w:t>
            </w:r>
          </w:p>
        </w:tc>
        <w:tc>
          <w:tcPr>
            <w:tcW w:type="dxa" w:w="3168"/>
            <w:vAlign w:val="top"/>
          </w:tcPr>
          <w:p>
            <w:pPr>
              <w:spacing w:after="0"/>
            </w:pPr>
            <w:r/>
            <w:r>
              <w:rPr>
                <w:rFonts w:ascii="Liberation Serif" w:hAnsi="Liberation Serif" w:eastAsia="Liberation Serif"/>
                <w:b w:val="0"/>
                <w:sz w:val="14"/>
              </w:rPr>
              <w:t>Gazelle, aurochs, wild ass, boar, wild sheep/mouflon, fox; aurochs hunting lesion. [3], [4], [7], [8]</w:t>
            </w:r>
          </w:p>
        </w:tc>
        <w:tc>
          <w:tcPr>
            <w:tcW w:type="dxa" w:w="2592"/>
            <w:vAlign w:val="top"/>
          </w:tcPr>
          <w:p>
            <w:pPr>
              <w:spacing w:after="0"/>
            </w:pPr>
            <w:r/>
            <w:r>
              <w:rPr>
                <w:rFonts w:ascii="Liberation Serif" w:hAnsi="Liberation Serif" w:eastAsia="Liberation Serif"/>
                <w:b w:val="0"/>
                <w:sz w:val="14"/>
              </w:rPr>
              <w:t>Hunt and feast competence; dangerous body handling.</w:t>
            </w:r>
          </w:p>
        </w:tc>
        <w:tc>
          <w:tcPr>
            <w:tcW w:type="dxa" w:w="2160"/>
            <w:vAlign w:val="top"/>
          </w:tcPr>
          <w:p>
            <w:pPr>
              <w:spacing w:after="0"/>
            </w:pPr>
            <w:r/>
            <w:r>
              <w:rPr>
                <w:rFonts w:ascii="Liberation Serif" w:hAnsi="Liberation Serif" w:eastAsia="Liberation Serif"/>
                <w:b w:val="0"/>
                <w:sz w:val="14"/>
              </w:rPr>
              <w:t>Hunt evidence, not raid evidence.</w:t>
            </w:r>
          </w:p>
        </w:tc>
      </w:tr>
      <w:tr>
        <w:tc>
          <w:tcPr>
            <w:tcW w:type="dxa" w:w="1440"/>
            <w:vAlign w:val="top"/>
          </w:tcPr>
          <w:p>
            <w:pPr>
              <w:spacing w:after="0"/>
            </w:pPr>
            <w:r/>
            <w:r>
              <w:rPr>
                <w:rFonts w:ascii="Liberation Serif" w:hAnsi="Liberation Serif" w:eastAsia="Liberation Serif"/>
                <w:b w:val="0"/>
                <w:sz w:val="14"/>
              </w:rPr>
              <w:t>Human remains</w:t>
            </w:r>
          </w:p>
        </w:tc>
        <w:tc>
          <w:tcPr>
            <w:tcW w:type="dxa" w:w="3168"/>
            <w:vAlign w:val="top"/>
          </w:tcPr>
          <w:p>
            <w:pPr>
              <w:spacing w:after="0"/>
            </w:pPr>
            <w:r/>
            <w:r>
              <w:rPr>
                <w:rFonts w:ascii="Liberation Serif" w:hAnsi="Liberation Serif" w:eastAsia="Liberation Serif"/>
                <w:b w:val="0"/>
                <w:sz w:val="14"/>
              </w:rPr>
              <w:t>Modified skull fragments and scattered human bone in fill contexts. [5], [6]</w:t>
            </w:r>
          </w:p>
        </w:tc>
        <w:tc>
          <w:tcPr>
            <w:tcW w:type="dxa" w:w="2592"/>
            <w:vAlign w:val="top"/>
          </w:tcPr>
          <w:p>
            <w:pPr>
              <w:spacing w:after="0"/>
            </w:pPr>
            <w:r/>
            <w:r>
              <w:rPr>
                <w:rFonts w:ascii="Liberation Serif" w:hAnsi="Liberation Serif" w:eastAsia="Liberation Serif"/>
                <w:b w:val="0"/>
                <w:sz w:val="14"/>
              </w:rPr>
              <w:t>Death practice, memory, trace loss, mortuary ambiguity.</w:t>
            </w:r>
          </w:p>
        </w:tc>
        <w:tc>
          <w:tcPr>
            <w:tcW w:type="dxa" w:w="2160"/>
            <w:vAlign w:val="top"/>
          </w:tcPr>
          <w:p>
            <w:pPr>
              <w:spacing w:after="0"/>
            </w:pPr>
            <w:r/>
            <w:r>
              <w:rPr>
                <w:rFonts w:ascii="Liberation Serif" w:hAnsi="Liberation Serif" w:eastAsia="Liberation Serif"/>
                <w:b w:val="0"/>
                <w:sz w:val="14"/>
              </w:rPr>
              <w:t>Does not prove raid, siege, or conspecific consumption.</w:t>
            </w:r>
          </w:p>
        </w:tc>
      </w:tr>
      <w:tr>
        <w:tc>
          <w:tcPr>
            <w:tcW w:type="dxa" w:w="1440"/>
            <w:vAlign w:val="top"/>
          </w:tcPr>
          <w:p>
            <w:pPr>
              <w:spacing w:after="0"/>
            </w:pPr>
            <w:r/>
            <w:r>
              <w:rPr>
                <w:rFonts w:ascii="Liberation Serif" w:hAnsi="Liberation Serif" w:eastAsia="Liberation Serif"/>
                <w:b w:val="0"/>
                <w:sz w:val="14"/>
              </w:rPr>
              <w:t>Conflict background</w:t>
            </w:r>
          </w:p>
        </w:tc>
        <w:tc>
          <w:tcPr>
            <w:tcW w:type="dxa" w:w="3168"/>
            <w:vAlign w:val="top"/>
          </w:tcPr>
          <w:p>
            <w:pPr>
              <w:spacing w:after="0"/>
            </w:pPr>
            <w:r/>
            <w:r>
              <w:rPr>
                <w:rFonts w:ascii="Liberation Serif" w:hAnsi="Liberation Serif" w:eastAsia="Liberation Serif"/>
                <w:b w:val="0"/>
                <w:sz w:val="14"/>
              </w:rPr>
              <w:t>Kortik Tepe discussion notes interpersonal violence and conflict mitigation, with limited intergroup proxies. [9]</w:t>
            </w:r>
          </w:p>
        </w:tc>
        <w:tc>
          <w:tcPr>
            <w:tcW w:type="dxa" w:w="2592"/>
            <w:vAlign w:val="top"/>
          </w:tcPr>
          <w:p>
            <w:pPr>
              <w:spacing w:after="0"/>
            </w:pPr>
            <w:r/>
            <w:r>
              <w:rPr>
                <w:rFonts w:ascii="Liberation Serif" w:hAnsi="Liberation Serif" w:eastAsia="Liberation Serif"/>
                <w:b w:val="0"/>
                <w:sz w:val="14"/>
              </w:rPr>
              <w:t>Regional social heat and need for mitigation.</w:t>
            </w:r>
          </w:p>
        </w:tc>
        <w:tc>
          <w:tcPr>
            <w:tcW w:type="dxa" w:w="2160"/>
            <w:vAlign w:val="top"/>
          </w:tcPr>
          <w:p>
            <w:pPr>
              <w:spacing w:after="0"/>
            </w:pPr>
            <w:r/>
            <w:r>
              <w:rPr>
                <w:rFonts w:ascii="Liberation Serif" w:hAnsi="Liberation Serif" w:eastAsia="Liberation Serif"/>
                <w:b w:val="0"/>
                <w:sz w:val="14"/>
              </w:rPr>
              <w:t>Indirect comparison only.</w:t>
            </w:r>
          </w:p>
        </w:tc>
      </w:tr>
      <w:tr>
        <w:tc>
          <w:tcPr>
            <w:tcW w:type="dxa" w:w="1440"/>
            <w:vAlign w:val="top"/>
          </w:tcPr>
          <w:p>
            <w:pPr>
              <w:spacing w:after="0"/>
            </w:pPr>
            <w:r/>
            <w:r>
              <w:rPr>
                <w:rFonts w:ascii="Liberation Serif" w:hAnsi="Liberation Serif" w:eastAsia="Liberation Serif"/>
                <w:b w:val="0"/>
                <w:sz w:val="14"/>
              </w:rPr>
              <w:t>Stratigraphy and fill</w:t>
            </w:r>
          </w:p>
        </w:tc>
        <w:tc>
          <w:tcPr>
            <w:tcW w:type="dxa" w:w="3168"/>
            <w:vAlign w:val="top"/>
          </w:tcPr>
          <w:p>
            <w:pPr>
              <w:spacing w:after="0"/>
            </w:pPr>
            <w:r/>
            <w:r>
              <w:rPr>
                <w:rFonts w:ascii="Liberation Serif" w:hAnsi="Liberation Serif" w:eastAsia="Liberation Serif"/>
                <w:b w:val="0"/>
                <w:sz w:val="14"/>
              </w:rPr>
              <w:t>Built-on-rock work stresses complex mound formation, slope processes, repairs, and revision of older fill assumptions. [10]</w:t>
            </w:r>
          </w:p>
        </w:tc>
        <w:tc>
          <w:tcPr>
            <w:tcW w:type="dxa" w:w="2592"/>
            <w:vAlign w:val="top"/>
          </w:tcPr>
          <w:p>
            <w:pPr>
              <w:spacing w:after="0"/>
            </w:pPr>
            <w:r/>
            <w:r>
              <w:rPr>
                <w:rFonts w:ascii="Liberation Serif" w:hAnsi="Liberation Serif" w:eastAsia="Liberation Serif"/>
                <w:b w:val="0"/>
                <w:sz w:val="14"/>
              </w:rPr>
              <w:t>Need for sequence, route, and repair testing.</w:t>
            </w:r>
          </w:p>
        </w:tc>
        <w:tc>
          <w:tcPr>
            <w:tcW w:type="dxa" w:w="2160"/>
            <w:vAlign w:val="top"/>
          </w:tcPr>
          <w:p>
            <w:pPr>
              <w:spacing w:after="0"/>
            </w:pPr>
            <w:r/>
            <w:r>
              <w:rPr>
                <w:rFonts w:ascii="Liberation Serif" w:hAnsi="Liberation Serif" w:eastAsia="Liberation Serif"/>
                <w:b w:val="0"/>
                <w:sz w:val="14"/>
              </w:rPr>
              <w:t>Moved material can mimic tactical traces.</w:t>
            </w:r>
          </w:p>
        </w:tc>
      </w:tr>
    </w:tbl>
    <w:p>
      <w:pPr>
        <w:spacing w:after="20"/>
      </w:pPr>
    </w:p>
    <w:p>
      <w:pPr>
        <w:pStyle w:val="Heading1"/>
      </w:pPr>
      <w:r>
        <w:t>8. Route, queue, and delay scale checks</w:t>
      </w:r>
    </w:p>
    <w:p>
      <w:pPr>
        <w:spacing w:after="100"/>
      </w:pPr>
      <w:r>
        <w:t>The raider-risk model stays small-scale. It does not need herds or armies in the enclosures. It needs a front cluster of hungry people delayed, bunched, exposed, frightened, injured, blocked, or rerouted. The figures below are scale checks, not field measurements of actual entrances.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D9EAF7"/>
          </w:tcPr>
          <w:p>
            <w:pPr>
              <w:spacing w:after="0"/>
            </w:pPr>
            <w:r/>
            <w:r>
              <w:rPr>
                <w:rFonts w:ascii="Liberation Serif" w:hAnsi="Liberation Serif" w:eastAsia="Liberation Serif"/>
                <w:b/>
                <w:sz w:val="15"/>
              </w:rPr>
              <w:t>Feature model</w:t>
            </w:r>
          </w:p>
        </w:tc>
        <w:tc>
          <w:tcPr>
            <w:tcW w:type="dxa" w:w="3600"/>
            <w:vAlign w:val="top"/>
            <w:shd w:fill="D9EAF7"/>
          </w:tcPr>
          <w:p>
            <w:pPr>
              <w:spacing w:after="0"/>
            </w:pPr>
            <w:r/>
            <w:r>
              <w:rPr>
                <w:rFonts w:ascii="Liberation Serif" w:hAnsi="Liberation Serif" w:eastAsia="Liberation Serif"/>
                <w:b/>
                <w:sz w:val="15"/>
              </w:rPr>
              <w:t>Example scale</w:t>
            </w:r>
          </w:p>
        </w:tc>
        <w:tc>
          <w:tcPr>
            <w:tcW w:type="dxa" w:w="3456"/>
            <w:vAlign w:val="top"/>
            <w:shd w:fill="D9EAF7"/>
          </w:tcPr>
          <w:p>
            <w:pPr>
              <w:spacing w:after="0"/>
            </w:pPr>
            <w:r/>
            <w:r>
              <w:rPr>
                <w:rFonts w:ascii="Liberation Serif" w:hAnsi="Liberation Serif" w:eastAsia="Liberation Serif"/>
                <w:b/>
                <w:sz w:val="15"/>
              </w:rPr>
              <w:t>Interpretive use</w:t>
            </w:r>
          </w:p>
        </w:tc>
      </w:tr>
      <w:tr>
        <w:tc>
          <w:tcPr>
            <w:tcW w:type="dxa" w:w="2304"/>
            <w:vAlign w:val="top"/>
          </w:tcPr>
          <w:p>
            <w:pPr>
              <w:spacing w:after="0"/>
            </w:pPr>
            <w:r/>
            <w:r>
              <w:rPr>
                <w:rFonts w:ascii="Liberation Serif" w:hAnsi="Liberation Serif" w:eastAsia="Liberation Serif"/>
                <w:b w:val="0"/>
                <w:sz w:val="15"/>
              </w:rPr>
              <w:t>Circular enclosure area</w:t>
            </w:r>
          </w:p>
        </w:tc>
        <w:tc>
          <w:tcPr>
            <w:tcW w:type="dxa" w:w="3600"/>
            <w:vAlign w:val="top"/>
          </w:tcPr>
          <w:p>
            <w:pPr>
              <w:spacing w:after="0"/>
            </w:pPr>
            <w:r/>
            <w:r>
              <w:rPr>
                <w:rFonts w:ascii="Liberation Serif" w:hAnsi="Liberation Serif" w:eastAsia="Liberation Serif"/>
                <w:b w:val="0"/>
                <w:sz w:val="15"/>
              </w:rPr>
              <w:t>10 m diameter: c. 78.5 m2; 15 m: c. 176.7 m2; 20 m: c. 314.2 m2.</w:t>
            </w:r>
          </w:p>
        </w:tc>
        <w:tc>
          <w:tcPr>
            <w:tcW w:type="dxa" w:w="3456"/>
            <w:vAlign w:val="top"/>
          </w:tcPr>
          <w:p>
            <w:pPr>
              <w:spacing w:after="0"/>
            </w:pPr>
            <w:r/>
            <w:r>
              <w:rPr>
                <w:rFonts w:ascii="Liberation Serif" w:hAnsi="Liberation Serif" w:eastAsia="Liberation Serif"/>
                <w:b w:val="0"/>
                <w:sz w:val="15"/>
              </w:rPr>
              <w:t>Gathering scale, not animal-trap proof.</w:t>
            </w:r>
          </w:p>
        </w:tc>
      </w:tr>
      <w:tr>
        <w:tc>
          <w:tcPr>
            <w:tcW w:type="dxa" w:w="2304"/>
            <w:vAlign w:val="top"/>
          </w:tcPr>
          <w:p>
            <w:pPr>
              <w:spacing w:after="0"/>
            </w:pPr>
            <w:r/>
            <w:r>
              <w:rPr>
                <w:rFonts w:ascii="Liberation Serif" w:hAnsi="Liberation Serif" w:eastAsia="Liberation Serif"/>
                <w:b w:val="0"/>
                <w:sz w:val="15"/>
              </w:rPr>
              <w:t>Workable gathering capacity</w:t>
            </w:r>
          </w:p>
        </w:tc>
        <w:tc>
          <w:tcPr>
            <w:tcW w:type="dxa" w:w="3600"/>
            <w:vAlign w:val="top"/>
          </w:tcPr>
          <w:p>
            <w:pPr>
              <w:spacing w:after="0"/>
            </w:pPr>
            <w:r/>
            <w:r>
              <w:rPr>
                <w:rFonts w:ascii="Liberation Serif" w:hAnsi="Liberation Serif" w:eastAsia="Liberation Serif"/>
                <w:b w:val="0"/>
                <w:sz w:val="15"/>
              </w:rPr>
              <w:t>At 1.5 m2 per person: c. 52, 118, or 209 people for 10, 15, or 20 m diameter.</w:t>
            </w:r>
          </w:p>
        </w:tc>
        <w:tc>
          <w:tcPr>
            <w:tcW w:type="dxa" w:w="3456"/>
            <w:vAlign w:val="top"/>
          </w:tcPr>
          <w:p>
            <w:pPr>
              <w:spacing w:after="0"/>
            </w:pPr>
            <w:r/>
            <w:r>
              <w:rPr>
                <w:rFonts w:ascii="Liberation Serif" w:hAnsi="Liberation Serif" w:eastAsia="Liberation Serif"/>
                <w:b w:val="0"/>
                <w:sz w:val="15"/>
              </w:rPr>
              <w:t>Event and witness capacity, depending on layout.</w:t>
            </w:r>
          </w:p>
        </w:tc>
      </w:tr>
      <w:tr>
        <w:tc>
          <w:tcPr>
            <w:tcW w:type="dxa" w:w="2304"/>
            <w:vAlign w:val="top"/>
          </w:tcPr>
          <w:p>
            <w:pPr>
              <w:spacing w:after="0"/>
            </w:pPr>
            <w:r/>
            <w:r>
              <w:rPr>
                <w:rFonts w:ascii="Liberation Serif" w:hAnsi="Liberation Serif" w:eastAsia="Liberation Serif"/>
                <w:b w:val="0"/>
                <w:sz w:val="15"/>
              </w:rPr>
              <w:t>Narrow approach queue</w:t>
            </w:r>
          </w:p>
        </w:tc>
        <w:tc>
          <w:tcPr>
            <w:tcW w:type="dxa" w:w="3600"/>
            <w:vAlign w:val="top"/>
          </w:tcPr>
          <w:p>
            <w:pPr>
              <w:spacing w:after="0"/>
            </w:pPr>
            <w:r/>
            <w:r>
              <w:rPr>
                <w:rFonts w:ascii="Liberation Serif" w:hAnsi="Liberation Serif" w:eastAsia="Liberation Serif"/>
                <w:b w:val="0"/>
                <w:sz w:val="15"/>
              </w:rPr>
              <w:t>5 m x 1.2 m can hold roughly 6-10 bunched people.</w:t>
            </w:r>
          </w:p>
        </w:tc>
        <w:tc>
          <w:tcPr>
            <w:tcW w:type="dxa" w:w="3456"/>
            <w:vAlign w:val="top"/>
          </w:tcPr>
          <w:p>
            <w:pPr>
              <w:spacing w:after="0"/>
            </w:pPr>
            <w:r/>
            <w:r>
              <w:rPr>
                <w:rFonts w:ascii="Liberation Serif" w:hAnsi="Liberation Serif" w:eastAsia="Liberation Serif"/>
                <w:b w:val="0"/>
                <w:sz w:val="15"/>
              </w:rPr>
              <w:t>Tests delay-and-drop logic at a threshold.</w:t>
            </w:r>
          </w:p>
        </w:tc>
      </w:tr>
      <w:tr>
        <w:tc>
          <w:tcPr>
            <w:tcW w:type="dxa" w:w="2304"/>
            <w:vAlign w:val="top"/>
          </w:tcPr>
          <w:p>
            <w:pPr>
              <w:spacing w:after="0"/>
            </w:pPr>
            <w:r/>
            <w:r>
              <w:rPr>
                <w:rFonts w:ascii="Liberation Serif" w:hAnsi="Liberation Serif" w:eastAsia="Liberation Serif"/>
                <w:b w:val="0"/>
                <w:sz w:val="15"/>
              </w:rPr>
              <w:t>Drop or blockage strip</w:t>
            </w:r>
          </w:p>
        </w:tc>
        <w:tc>
          <w:tcPr>
            <w:tcW w:type="dxa" w:w="3600"/>
            <w:vAlign w:val="top"/>
          </w:tcPr>
          <w:p>
            <w:pPr>
              <w:spacing w:after="0"/>
            </w:pPr>
            <w:r/>
            <w:r>
              <w:rPr>
                <w:rFonts w:ascii="Liberation Serif" w:hAnsi="Liberation Serif" w:eastAsia="Liberation Serif"/>
                <w:b w:val="0"/>
                <w:sz w:val="15"/>
              </w:rPr>
              <w:t>4 m x 1 m can affect a front cluster.</w:t>
            </w:r>
          </w:p>
        </w:tc>
        <w:tc>
          <w:tcPr>
            <w:tcW w:type="dxa" w:w="3456"/>
            <w:vAlign w:val="top"/>
          </w:tcPr>
          <w:p>
            <w:pPr>
              <w:spacing w:after="0"/>
            </w:pPr>
            <w:r/>
            <w:r>
              <w:rPr>
                <w:rFonts w:ascii="Liberation Serif" w:hAnsi="Liberation Serif" w:eastAsia="Liberation Serif"/>
                <w:b w:val="0"/>
                <w:sz w:val="15"/>
              </w:rPr>
              <w:t>Small raiding-party scale, not mass battle scale.</w:t>
            </w:r>
          </w:p>
        </w:tc>
      </w:tr>
      <w:tr>
        <w:tc>
          <w:tcPr>
            <w:tcW w:type="dxa" w:w="2304"/>
            <w:vAlign w:val="top"/>
          </w:tcPr>
          <w:p>
            <w:pPr>
              <w:spacing w:after="0"/>
            </w:pPr>
            <w:r/>
            <w:r>
              <w:rPr>
                <w:rFonts w:ascii="Liberation Serif" w:hAnsi="Liberation Serif" w:eastAsia="Liberation Serif"/>
                <w:b w:val="0"/>
                <w:sz w:val="15"/>
              </w:rPr>
              <w:t>Pantry barrier</w:t>
            </w:r>
          </w:p>
        </w:tc>
        <w:tc>
          <w:tcPr>
            <w:tcW w:type="dxa" w:w="3600"/>
            <w:vAlign w:val="top"/>
          </w:tcPr>
          <w:p>
            <w:pPr>
              <w:spacing w:after="0"/>
            </w:pPr>
            <w:r/>
            <w:r>
              <w:rPr>
                <w:rFonts w:ascii="Liberation Serif" w:hAnsi="Liberation Serif" w:eastAsia="Liberation Serif"/>
                <w:b w:val="0"/>
                <w:sz w:val="15"/>
              </w:rPr>
              <w:t>Robust but porous barrier: visible or scent-linked reward with slow access.</w:t>
            </w:r>
          </w:p>
        </w:tc>
        <w:tc>
          <w:tcPr>
            <w:tcW w:type="dxa" w:w="3456"/>
            <w:vAlign w:val="top"/>
          </w:tcPr>
          <w:p>
            <w:pPr>
              <w:spacing w:after="0"/>
            </w:pPr>
            <w:r/>
            <w:r>
              <w:rPr>
                <w:rFonts w:ascii="Liberation Serif" w:hAnsi="Liberation Serif" w:eastAsia="Liberation Serif"/>
                <w:b w:val="0"/>
                <w:sz w:val="15"/>
              </w:rPr>
              <w:t>Creates delay, attention lock, and bunching.</w:t>
            </w:r>
          </w:p>
        </w:tc>
      </w:tr>
    </w:tbl>
    <w:p>
      <w:pPr>
        <w:spacing w:after="20"/>
      </w:pPr>
    </w:p>
    <w:p>
      <w:pPr>
        <w:pStyle w:val="Heading1"/>
      </w:pPr>
      <w:r>
        <w:t>9. Bone, calcium, and delayed resident value</w:t>
      </w:r>
    </w:p>
    <w:p>
      <w:pPr>
        <w:spacing w:after="100"/>
      </w:pPr>
      <w:r>
        <w:t>First perceived wealth is not only grain. Stored value may include cereal, nuts, dried meat, marrow, bone, hides, tools, vessels, water, social debt, memory, and hidden routes. Large animal bones also matter after the meat is gone. Bone stores calcium and phosphorus for long periods when protected, and can remain useful as mineral, tool stock, animal feed, ritual matter, or trace-loss pathway. [15], [16], [17]</w:t>
      </w:r>
    </w:p>
    <w:p>
      <w:pPr>
        <w:spacing w:after="100"/>
      </w:pPr>
      <w:r>
        <w:t>This does not prove a calcium crisis at Gobekli Tepe. It also does not make bone the main thing outsiders would risk death to steal. Bone belongs primarily to resident delayed-value ecology. Raider attraction is driven mainly by perceived food access, reputation, feasting, visible group success, and seasonal desperation.</w:t>
      </w:r>
    </w:p>
    <w:p>
      <w:pPr>
        <w:pStyle w:val="Heading1"/>
      </w:pPr>
      <w:r>
        <w:t>10. Projectiles: incoming, salvaged, and weakly preserved</w:t>
      </w:r>
    </w:p>
    <w:p>
      <w:pPr>
        <w:spacing w:after="100"/>
      </w:pPr>
      <w:r>
        <w:t>The model does not predict many outgoing defender projectiles. In the proposed delay-and-drop scenario, defenders gain advantage by waiting until attackers are delayed, bunched, and attention-locked, then using height, stone, timber, clubs, axes, dogs, and reroute pressure. Projectile evidence, if any, is more likely to come from attackers firing or carrying chipped-stone points into the site.</w:t>
      </w:r>
    </w:p>
    <w:p>
      <w:pPr>
        <w:spacing w:after="100"/>
      </w:pPr>
      <w:r>
        <w:t>Metal arrowheads are not expected for this horizon. The relevant weapons are flint, chert, obsidian, wood, bone, clubs, axes, stones, and composite tools. Useful points would likely be collected, inspected, reworked, or repurposed after an event. A useful lithic point is not an Indiana Jones prop left in place for the next civilisation.</w:t>
      </w:r>
    </w:p>
    <w:p>
      <w:pPr>
        <w:spacing w:after="100"/>
      </w:pPr>
      <w:r>
        <w:t>What might survive are broken tips missed in rubble, impact-fractured pieces in approach-zone fill, points embedded in bone or timber, unusual lithic fragments near thresholds, repair or fill events burying small fragments, injury marks, or a spatial mismatch between ordinary knapping waste and access-zone fragments. Absence of outgoing projectile clusters is therefore not a strong objection. Absence of any mapped access-zone anomaly keeps the tactic speculative.</w:t>
      </w:r>
    </w:p>
    <w:p>
      <w:pPr>
        <w:pStyle w:val="Heading1"/>
      </w:pPr>
      <w:r>
        <w:t>11. Speculative mechanisms kept in rank</w:t>
      </w:r>
    </w:p>
    <w:p>
      <w:pPr>
        <w:pStyle w:val="Heading2"/>
      </w:pPr>
      <w:r>
        <w:t>11.1 Delay-and-drop</w:t>
      </w:r>
    </w:p>
    <w:p>
      <w:pPr>
        <w:spacing w:after="100"/>
      </w:pPr>
      <w:r>
        <w:t>The strongest tactical affordance is a delay-and-drop sequence. A pantry-like barrier or visible food threshold could hold lead attackers in a narrow working position. While their hands and attention are fixed on the obstacle, defenders above or beside the route could release prepared stone loads, then follow with stones, clubs, axes, dogs, or forced reroute. This is a proposed use of architecture, not a proven event.</w:t>
      </w:r>
    </w:p>
    <w:p>
      <w:pPr>
        <w:pStyle w:val="Heading2"/>
      </w:pPr>
      <w:r>
        <w:t>11.2 Roof or upper-surface failure</w:t>
      </w:r>
    </w:p>
    <w:p>
      <w:pPr>
        <w:spacing w:after="100"/>
      </w:pPr>
      <w:r>
        <w:t>A controlled failure point on a timber-supported roof or upper surface is more speculative. It could isolate the front of a group and block those behind, but it is hard to distinguish from ordinary collapse, earthquake damage, decay, or later fill movement. It remains secondary until timber, route, damage, and repair evidence support it.</w:t>
      </w:r>
    </w:p>
    <w:p>
      <w:pPr>
        <w:pStyle w:val="Heading2"/>
      </w:pPr>
      <w:r>
        <w:t>11.3 Mortuary crisis roles</w:t>
      </w:r>
    </w:p>
    <w:p>
      <w:pPr>
        <w:spacing w:after="100"/>
      </w:pPr>
      <w:r>
        <w:t>The paper uses the term conspecific consumption and does not infer routine practice. It allows rare emergency retrieval, scavenger interaction, predator attraction, secondary handling, taboo storage, and trace-loss pathways as possible scarcity-ecology roles. Human fragments, skull modification, teeth, animal damage, and redeposited bone may be expected before neat graves or battle layers. [5], [6]</w:t>
      </w:r>
    </w:p>
    <w:p>
      <w:pPr>
        <w:pStyle w:val="Heading1"/>
      </w:pPr>
      <w:r>
        <w:t>12. T-pillars as mogri-rich stone persons</w:t>
      </w:r>
    </w:p>
    <w:p>
      <w:pPr>
        <w:spacing w:after="100"/>
      </w:pPr>
      <w:r>
        <w:t>The T-pillars are not ordinary stacked stones. They are anthropomorphic limestone monoliths with arms, hands, belts, garments, and body-like grammar on some examples. Similar T-pillar traditions occur in the wider region. [11], [12]</w:t>
      </w:r>
    </w:p>
    <w:p>
      <w:pPr>
        <w:spacing w:after="100"/>
      </w:pPr>
      <w:r>
        <w:t>Version 0.82 treats them as mogri-rich convergence objects: stone persons, structure, authority, memory, roof or timber grammar, visitor-stage anchors, animal-image carriers, and possible parts of movement shaping. A mobile group can carry authority in living bodies. A fixed high-value site needs durable persons that stay when people leave, sleep, hunt, die, or gather elsewhere.</w:t>
      </w:r>
    </w:p>
    <w:p>
      <w:pPr>
        <w:spacing w:after="100"/>
      </w:pPr>
      <w:r>
        <w:t>Their anthropomorphic force is part of the raider-risk model. Attackers are not entering a neutral work yard. They are approaching a charged social place full of watching stone bodies and stories about what happened last time.</w:t>
      </w:r>
    </w:p>
    <w:p>
      <w:r>
        <w:br w:type="page"/>
      </w:r>
    </w:p>
    <w:p>
      <w:pPr>
        <w:pStyle w:val="Heading1"/>
      </w:pPr>
      <w:r>
        <w:t>13. What would demogrify the next layer</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top"/>
            <w:shd w:fill="D9EAF7"/>
          </w:tcPr>
          <w:p>
            <w:pPr>
              <w:spacing w:after="0"/>
            </w:pPr>
            <w:r/>
            <w:r>
              <w:rPr>
                <w:rFonts w:ascii="Liberation Serif" w:hAnsi="Liberation Serif" w:eastAsia="Liberation Serif"/>
                <w:b/>
                <w:sz w:val="14"/>
              </w:rPr>
              <w:t>Test target</w:t>
            </w:r>
          </w:p>
        </w:tc>
        <w:tc>
          <w:tcPr>
            <w:tcW w:type="dxa" w:w="4320"/>
            <w:vAlign w:val="top"/>
            <w:shd w:fill="D9EAF7"/>
          </w:tcPr>
          <w:p>
            <w:pPr>
              <w:spacing w:after="0"/>
            </w:pPr>
            <w:r/>
            <w:r>
              <w:rPr>
                <w:rFonts w:ascii="Liberation Serif" w:hAnsi="Liberation Serif" w:eastAsia="Liberation Serif"/>
                <w:b/>
                <w:sz w:val="14"/>
              </w:rPr>
              <w:t>What would help</w:t>
            </w:r>
          </w:p>
        </w:tc>
        <w:tc>
          <w:tcPr>
            <w:tcW w:type="dxa" w:w="3240"/>
            <w:vAlign w:val="top"/>
            <w:shd w:fill="D9EAF7"/>
          </w:tcPr>
          <w:p>
            <w:pPr>
              <w:spacing w:after="0"/>
            </w:pPr>
            <w:r/>
            <w:r>
              <w:rPr>
                <w:rFonts w:ascii="Liberation Serif" w:hAnsi="Liberation Serif" w:eastAsia="Liberation Serif"/>
                <w:b/>
                <w:sz w:val="14"/>
              </w:rPr>
              <w:t>What it would demogrify</w:t>
            </w:r>
          </w:p>
        </w:tc>
      </w:tr>
      <w:tr>
        <w:tc>
          <w:tcPr>
            <w:tcW w:type="dxa" w:w="1800"/>
            <w:vAlign w:val="top"/>
          </w:tcPr>
          <w:p>
            <w:pPr>
              <w:spacing w:after="0"/>
            </w:pPr>
            <w:r/>
            <w:r>
              <w:rPr>
                <w:rFonts w:ascii="Liberation Serif" w:hAnsi="Liberation Serif" w:eastAsia="Liberation Serif"/>
                <w:b w:val="0"/>
                <w:sz w:val="14"/>
              </w:rPr>
              <w:t>Routes</w:t>
            </w:r>
          </w:p>
        </w:tc>
        <w:tc>
          <w:tcPr>
            <w:tcW w:type="dxa" w:w="4320"/>
            <w:vAlign w:val="top"/>
          </w:tcPr>
          <w:p>
            <w:pPr>
              <w:spacing w:after="0"/>
            </w:pPr>
            <w:r/>
            <w:r>
              <w:rPr>
                <w:rFonts w:ascii="Liberation Serif" w:hAnsi="Liberation Serif" w:eastAsia="Liberation Serif"/>
                <w:b w:val="0"/>
                <w:sz w:val="14"/>
              </w:rPr>
              <w:t>Plan overlays of approaches, thresholds, benches, terraces, possible platforms, and reroutes.</w:t>
            </w:r>
          </w:p>
        </w:tc>
        <w:tc>
          <w:tcPr>
            <w:tcW w:type="dxa" w:w="3240"/>
            <w:vAlign w:val="top"/>
          </w:tcPr>
          <w:p>
            <w:pPr>
              <w:spacing w:after="0"/>
            </w:pPr>
            <w:r/>
            <w:r>
              <w:rPr>
                <w:rFonts w:ascii="Liberation Serif" w:hAnsi="Liberation Serif" w:eastAsia="Liberation Serif"/>
                <w:b w:val="0"/>
                <w:sz w:val="14"/>
              </w:rPr>
              <w:t>Whether people could be delayed, bunched, observed, or redirected.</w:t>
            </w:r>
          </w:p>
        </w:tc>
      </w:tr>
      <w:tr>
        <w:tc>
          <w:tcPr>
            <w:tcW w:type="dxa" w:w="1800"/>
            <w:vAlign w:val="top"/>
          </w:tcPr>
          <w:p>
            <w:pPr>
              <w:spacing w:after="0"/>
            </w:pPr>
            <w:r/>
            <w:r>
              <w:rPr>
                <w:rFonts w:ascii="Liberation Serif" w:hAnsi="Liberation Serif" w:eastAsia="Liberation Serif"/>
                <w:b w:val="0"/>
                <w:sz w:val="14"/>
              </w:rPr>
              <w:t>Timber</w:t>
            </w:r>
          </w:p>
        </w:tc>
        <w:tc>
          <w:tcPr>
            <w:tcW w:type="dxa" w:w="4320"/>
            <w:vAlign w:val="top"/>
          </w:tcPr>
          <w:p>
            <w:pPr>
              <w:spacing w:after="0"/>
            </w:pPr>
            <w:r/>
            <w:r>
              <w:rPr>
                <w:rFonts w:ascii="Liberation Serif" w:hAnsi="Liberation Serif" w:eastAsia="Liberation Serif"/>
                <w:b w:val="0"/>
                <w:sz w:val="14"/>
              </w:rPr>
              <w:t>Postholes, sockets, impressions, roof or screen evidence, attachment marks.</w:t>
            </w:r>
          </w:p>
        </w:tc>
        <w:tc>
          <w:tcPr>
            <w:tcW w:type="dxa" w:w="3240"/>
            <w:vAlign w:val="top"/>
          </w:tcPr>
          <w:p>
            <w:pPr>
              <w:spacing w:after="0"/>
            </w:pPr>
            <w:r/>
            <w:r>
              <w:rPr>
                <w:rFonts w:ascii="Liberation Serif" w:hAnsi="Liberation Serif" w:eastAsia="Liberation Serif"/>
                <w:b w:val="0"/>
                <w:sz w:val="14"/>
              </w:rPr>
              <w:t>Whether lost architecture changed access, sightlines, or upper surfaces.</w:t>
            </w:r>
          </w:p>
        </w:tc>
      </w:tr>
      <w:tr>
        <w:tc>
          <w:tcPr>
            <w:tcW w:type="dxa" w:w="1800"/>
            <w:vAlign w:val="top"/>
          </w:tcPr>
          <w:p>
            <w:pPr>
              <w:spacing w:after="0"/>
            </w:pPr>
            <w:r/>
            <w:r>
              <w:rPr>
                <w:rFonts w:ascii="Liberation Serif" w:hAnsi="Liberation Serif" w:eastAsia="Liberation Serif"/>
                <w:b w:val="0"/>
                <w:sz w:val="14"/>
              </w:rPr>
              <w:t>Scatter</w:t>
            </w:r>
          </w:p>
        </w:tc>
        <w:tc>
          <w:tcPr>
            <w:tcW w:type="dxa" w:w="4320"/>
            <w:vAlign w:val="top"/>
          </w:tcPr>
          <w:p>
            <w:pPr>
              <w:spacing w:after="0"/>
            </w:pPr>
            <w:r/>
            <w:r>
              <w:rPr>
                <w:rFonts w:ascii="Liberation Serif" w:hAnsi="Liberation Serif" w:eastAsia="Liberation Serif"/>
                <w:b w:val="0"/>
                <w:sz w:val="14"/>
              </w:rPr>
              <w:t>Incoming or embedded points, impact fractures, rubble placement, crushed bone, tools by access zones.</w:t>
            </w:r>
          </w:p>
        </w:tc>
        <w:tc>
          <w:tcPr>
            <w:tcW w:type="dxa" w:w="3240"/>
            <w:vAlign w:val="top"/>
          </w:tcPr>
          <w:p>
            <w:pPr>
              <w:spacing w:after="0"/>
            </w:pPr>
            <w:r/>
            <w:r>
              <w:rPr>
                <w:rFonts w:ascii="Liberation Serif" w:hAnsi="Liberation Serif" w:eastAsia="Liberation Serif"/>
                <w:b w:val="0"/>
                <w:sz w:val="14"/>
              </w:rPr>
              <w:t>Whether route stress exists beyond ordinary discard.</w:t>
            </w:r>
          </w:p>
        </w:tc>
      </w:tr>
      <w:tr>
        <w:tc>
          <w:tcPr>
            <w:tcW w:type="dxa" w:w="1800"/>
            <w:vAlign w:val="top"/>
          </w:tcPr>
          <w:p>
            <w:pPr>
              <w:spacing w:after="0"/>
            </w:pPr>
            <w:r/>
            <w:r>
              <w:rPr>
                <w:rFonts w:ascii="Liberation Serif" w:hAnsi="Liberation Serif" w:eastAsia="Liberation Serif"/>
                <w:b w:val="0"/>
                <w:sz w:val="14"/>
              </w:rPr>
              <w:t>Repair</w:t>
            </w:r>
          </w:p>
        </w:tc>
        <w:tc>
          <w:tcPr>
            <w:tcW w:type="dxa" w:w="4320"/>
            <w:vAlign w:val="top"/>
          </w:tcPr>
          <w:p>
            <w:pPr>
              <w:spacing w:after="0"/>
            </w:pPr>
            <w:r/>
            <w:r>
              <w:rPr>
                <w:rFonts w:ascii="Liberation Serif" w:hAnsi="Liberation Serif" w:eastAsia="Liberation Serif"/>
                <w:b w:val="0"/>
                <w:sz w:val="14"/>
              </w:rPr>
              <w:t>Blocked openings, rebuilt thresholds, patched wall areas, repeated stress zones.</w:t>
            </w:r>
          </w:p>
        </w:tc>
        <w:tc>
          <w:tcPr>
            <w:tcW w:type="dxa" w:w="3240"/>
            <w:vAlign w:val="top"/>
          </w:tcPr>
          <w:p>
            <w:pPr>
              <w:spacing w:after="0"/>
            </w:pPr>
            <w:r/>
            <w:r>
              <w:rPr>
                <w:rFonts w:ascii="Liberation Serif" w:hAnsi="Liberation Serif" w:eastAsia="Liberation Serif"/>
                <w:b w:val="0"/>
                <w:sz w:val="14"/>
              </w:rPr>
              <w:t>Whether movement routes carried unusual pressure.</w:t>
            </w:r>
          </w:p>
        </w:tc>
      </w:tr>
      <w:tr>
        <w:tc>
          <w:tcPr>
            <w:tcW w:type="dxa" w:w="1800"/>
            <w:vAlign w:val="top"/>
          </w:tcPr>
          <w:p>
            <w:pPr>
              <w:spacing w:after="0"/>
            </w:pPr>
            <w:r/>
            <w:r>
              <w:rPr>
                <w:rFonts w:ascii="Liberation Serif" w:hAnsi="Liberation Serif" w:eastAsia="Liberation Serif"/>
                <w:b w:val="0"/>
                <w:sz w:val="14"/>
              </w:rPr>
              <w:t>Human remains</w:t>
            </w:r>
          </w:p>
        </w:tc>
        <w:tc>
          <w:tcPr>
            <w:tcW w:type="dxa" w:w="4320"/>
            <w:vAlign w:val="top"/>
          </w:tcPr>
          <w:p>
            <w:pPr>
              <w:spacing w:after="0"/>
            </w:pPr>
            <w:r/>
            <w:r>
              <w:rPr>
                <w:rFonts w:ascii="Liberation Serif" w:hAnsi="Liberation Serif" w:eastAsia="Liberation Serif"/>
                <w:b w:val="0"/>
                <w:sz w:val="14"/>
              </w:rPr>
              <w:t>Skull handling, teeth, cut marks, animal damage, redeposited fragments, context links.</w:t>
            </w:r>
          </w:p>
        </w:tc>
        <w:tc>
          <w:tcPr>
            <w:tcW w:type="dxa" w:w="3240"/>
            <w:vAlign w:val="top"/>
          </w:tcPr>
          <w:p>
            <w:pPr>
              <w:spacing w:after="0"/>
            </w:pPr>
            <w:r/>
            <w:r>
              <w:rPr>
                <w:rFonts w:ascii="Liberation Serif" w:hAnsi="Liberation Serif" w:eastAsia="Liberation Serif"/>
                <w:b w:val="0"/>
                <w:sz w:val="14"/>
              </w:rPr>
              <w:t>Whether death practice, trace loss, or rare conflict roles can be separated.</w:t>
            </w:r>
          </w:p>
        </w:tc>
      </w:tr>
      <w:tr>
        <w:tc>
          <w:tcPr>
            <w:tcW w:type="dxa" w:w="1800"/>
            <w:vAlign w:val="top"/>
          </w:tcPr>
          <w:p>
            <w:pPr>
              <w:spacing w:after="0"/>
            </w:pPr>
            <w:r/>
            <w:r>
              <w:rPr>
                <w:rFonts w:ascii="Liberation Serif" w:hAnsi="Liberation Serif" w:eastAsia="Liberation Serif"/>
                <w:b w:val="0"/>
                <w:sz w:val="14"/>
              </w:rPr>
              <w:t>Perceived wealth</w:t>
            </w:r>
          </w:p>
        </w:tc>
        <w:tc>
          <w:tcPr>
            <w:tcW w:type="dxa" w:w="4320"/>
            <w:vAlign w:val="top"/>
          </w:tcPr>
          <w:p>
            <w:pPr>
              <w:spacing w:after="0"/>
            </w:pPr>
            <w:r/>
            <w:r>
              <w:rPr>
                <w:rFonts w:ascii="Liberation Serif" w:hAnsi="Liberation Serif" w:eastAsia="Liberation Serif"/>
                <w:b w:val="0"/>
                <w:sz w:val="14"/>
              </w:rPr>
              <w:t>Feast seasonality, visible food events, storage traces if present, visitor flow, smoke, water, tools, reputation signals.</w:t>
            </w:r>
          </w:p>
        </w:tc>
        <w:tc>
          <w:tcPr>
            <w:tcW w:type="dxa" w:w="3240"/>
            <w:vAlign w:val="top"/>
          </w:tcPr>
          <w:p>
            <w:pPr>
              <w:spacing w:after="0"/>
            </w:pPr>
            <w:r/>
            <w:r>
              <w:rPr>
                <w:rFonts w:ascii="Liberation Serif" w:hAnsi="Liberation Serif" w:eastAsia="Liberation Serif"/>
                <w:b w:val="0"/>
                <w:sz w:val="14"/>
              </w:rPr>
              <w:t>Whether raider attraction needs actual stores or visible/reputed success.</w:t>
            </w:r>
          </w:p>
        </w:tc>
      </w:tr>
    </w:tbl>
    <w:p>
      <w:pPr>
        <w:spacing w:after="20"/>
      </w:pPr>
    </w:p>
    <w:p>
      <w:pPr>
        <w:pStyle w:val="Heading1"/>
      </w:pPr>
      <w:r>
        <w:t>14. What would weaken the model</w:t>
      </w:r>
    </w:p>
    <w:tbl>
      <w:tblPr>
        <w:tblStyle w:val="TableGrid"/>
        <w:tblW w:type="auto" w:w="0"/>
        <w:jc w:val="center"/>
        <w:tblLook w:firstColumn="1" w:firstRow="1" w:lastColumn="0" w:lastRow="0" w:noHBand="0" w:noVBand="1" w:val="04A0"/>
      </w:tblPr>
      <w:tblGrid>
        <w:gridCol w:w="5112"/>
        <w:gridCol w:w="5112"/>
      </w:tblGrid>
      <w:tr>
        <w:tc>
          <w:tcPr>
            <w:tcW w:type="dxa" w:w="6048"/>
            <w:vAlign w:val="top"/>
            <w:shd w:fill="D9EAF7"/>
          </w:tcPr>
          <w:p>
            <w:pPr>
              <w:spacing w:after="0"/>
            </w:pPr>
            <w:r/>
            <w:r>
              <w:rPr>
                <w:rFonts w:ascii="Liberation Serif" w:hAnsi="Liberation Serif" w:eastAsia="Liberation Serif"/>
                <w:b/>
                <w:sz w:val="15"/>
              </w:rPr>
              <w:t>Weakening result</w:t>
            </w:r>
          </w:p>
        </w:tc>
        <w:tc>
          <w:tcPr>
            <w:tcW w:type="dxa" w:w="3312"/>
            <w:vAlign w:val="top"/>
            <w:shd w:fill="D9EAF7"/>
          </w:tcPr>
          <w:p>
            <w:pPr>
              <w:spacing w:after="0"/>
            </w:pPr>
            <w:r/>
            <w:r>
              <w:rPr>
                <w:rFonts w:ascii="Liberation Serif" w:hAnsi="Liberation Serif" w:eastAsia="Liberation Serif"/>
                <w:b/>
                <w:sz w:val="15"/>
              </w:rPr>
              <w:t>Effect on model</w:t>
            </w:r>
          </w:p>
        </w:tc>
      </w:tr>
      <w:tr>
        <w:tc>
          <w:tcPr>
            <w:tcW w:type="dxa" w:w="6048"/>
            <w:vAlign w:val="top"/>
          </w:tcPr>
          <w:p>
            <w:pPr>
              <w:spacing w:after="0"/>
            </w:pPr>
            <w:r/>
            <w:r>
              <w:rPr>
                <w:rFonts w:ascii="Liberation Serif" w:hAnsi="Liberation Serif" w:eastAsia="Liberation Serif"/>
                <w:b w:val="0"/>
                <w:sz w:val="15"/>
              </w:rPr>
              <w:t>No meaningful route delay, observation, bunching, or reroute potential under plan overlay.</w:t>
            </w:r>
          </w:p>
        </w:tc>
        <w:tc>
          <w:tcPr>
            <w:tcW w:type="dxa" w:w="3312"/>
            <w:vAlign w:val="top"/>
          </w:tcPr>
          <w:p>
            <w:pPr>
              <w:spacing w:after="0"/>
            </w:pPr>
            <w:r/>
            <w:r>
              <w:rPr>
                <w:rFonts w:ascii="Liberation Serif" w:hAnsi="Liberation Serif" w:eastAsia="Liberation Serif"/>
                <w:b w:val="0"/>
                <w:sz w:val="15"/>
              </w:rPr>
              <w:t>Weakens the warning-architecture layer.</w:t>
            </w:r>
          </w:p>
        </w:tc>
      </w:tr>
      <w:tr>
        <w:tc>
          <w:tcPr>
            <w:tcW w:type="dxa" w:w="6048"/>
            <w:vAlign w:val="top"/>
          </w:tcPr>
          <w:p>
            <w:pPr>
              <w:spacing w:after="0"/>
            </w:pPr>
            <w:r/>
            <w:r>
              <w:rPr>
                <w:rFonts w:ascii="Liberation Serif" w:hAnsi="Liberation Serif" w:eastAsia="Liberation Serif"/>
                <w:b w:val="0"/>
                <w:sz w:val="15"/>
              </w:rPr>
              <w:t>No timber, roof, platform, screen, or access evidence after detailed study.</w:t>
            </w:r>
          </w:p>
        </w:tc>
        <w:tc>
          <w:tcPr>
            <w:tcW w:type="dxa" w:w="3312"/>
            <w:vAlign w:val="top"/>
          </w:tcPr>
          <w:p>
            <w:pPr>
              <w:spacing w:after="0"/>
            </w:pPr>
            <w:r/>
            <w:r>
              <w:rPr>
                <w:rFonts w:ascii="Liberation Serif" w:hAnsi="Liberation Serif" w:eastAsia="Liberation Serif"/>
                <w:b w:val="0"/>
                <w:sz w:val="15"/>
              </w:rPr>
              <w:t>Weakens delay-and-drop and roof-failure mechanisms.</w:t>
            </w:r>
          </w:p>
        </w:tc>
      </w:tr>
      <w:tr>
        <w:tc>
          <w:tcPr>
            <w:tcW w:type="dxa" w:w="6048"/>
            <w:vAlign w:val="top"/>
          </w:tcPr>
          <w:p>
            <w:pPr>
              <w:spacing w:after="0"/>
            </w:pPr>
            <w:r/>
            <w:r>
              <w:rPr>
                <w:rFonts w:ascii="Liberation Serif" w:hAnsi="Liberation Serif" w:eastAsia="Liberation Serif"/>
                <w:b w:val="0"/>
                <w:sz w:val="15"/>
              </w:rPr>
              <w:t>Food-processing evidence remains feast-scale with no credible perceived-wealth or recurrent food-availability signal.</w:t>
            </w:r>
          </w:p>
        </w:tc>
        <w:tc>
          <w:tcPr>
            <w:tcW w:type="dxa" w:w="3312"/>
            <w:vAlign w:val="top"/>
          </w:tcPr>
          <w:p>
            <w:pPr>
              <w:spacing w:after="0"/>
            </w:pPr>
            <w:r/>
            <w:r>
              <w:rPr>
                <w:rFonts w:ascii="Liberation Serif" w:hAnsi="Liberation Serif" w:eastAsia="Liberation Serif"/>
                <w:b w:val="0"/>
                <w:sz w:val="15"/>
              </w:rPr>
              <w:t>Weakens first-perceived-wealth pressure, though not feasting.</w:t>
            </w:r>
          </w:p>
        </w:tc>
      </w:tr>
      <w:tr>
        <w:tc>
          <w:tcPr>
            <w:tcW w:type="dxa" w:w="6048"/>
            <w:vAlign w:val="top"/>
          </w:tcPr>
          <w:p>
            <w:pPr>
              <w:spacing w:after="0"/>
            </w:pPr>
            <w:r/>
            <w:r>
              <w:rPr>
                <w:rFonts w:ascii="Liberation Serif" w:hAnsi="Liberation Serif" w:eastAsia="Liberation Serif"/>
                <w:b w:val="0"/>
                <w:sz w:val="15"/>
              </w:rPr>
              <w:t>Human remains are fully explained by later disturbance or unrelated fill movement.</w:t>
            </w:r>
          </w:p>
        </w:tc>
        <w:tc>
          <w:tcPr>
            <w:tcW w:type="dxa" w:w="3312"/>
            <w:vAlign w:val="top"/>
          </w:tcPr>
          <w:p>
            <w:pPr>
              <w:spacing w:after="0"/>
            </w:pPr>
            <w:r/>
            <w:r>
              <w:rPr>
                <w:rFonts w:ascii="Liberation Serif" w:hAnsi="Liberation Serif" w:eastAsia="Liberation Serif"/>
                <w:b w:val="0"/>
                <w:sz w:val="15"/>
              </w:rPr>
              <w:t>Weakens mortuary crisis and rare conflict readings.</w:t>
            </w:r>
          </w:p>
        </w:tc>
      </w:tr>
      <w:tr>
        <w:tc>
          <w:tcPr>
            <w:tcW w:type="dxa" w:w="6048"/>
            <w:vAlign w:val="top"/>
          </w:tcPr>
          <w:p>
            <w:pPr>
              <w:spacing w:after="0"/>
            </w:pPr>
            <w:r/>
            <w:r>
              <w:rPr>
                <w:rFonts w:ascii="Liberation Serif" w:hAnsi="Liberation Serif" w:eastAsia="Liberation Serif"/>
                <w:b w:val="0"/>
                <w:sz w:val="15"/>
              </w:rPr>
              <w:t>A simpler model explains ritual, food, animal, death, route, visibility, and perceived wealth with fewer assumptions.</w:t>
            </w:r>
          </w:p>
        </w:tc>
        <w:tc>
          <w:tcPr>
            <w:tcW w:type="dxa" w:w="3312"/>
            <w:vAlign w:val="top"/>
          </w:tcPr>
          <w:p>
            <w:pPr>
              <w:spacing w:after="0"/>
            </w:pPr>
            <w:r/>
            <w:r>
              <w:rPr>
                <w:rFonts w:ascii="Liberation Serif" w:hAnsi="Liberation Serif" w:eastAsia="Liberation Serif"/>
                <w:b w:val="0"/>
                <w:sz w:val="15"/>
              </w:rPr>
              <w:t>The raider-risk layer should lose rank.</w:t>
            </w:r>
          </w:p>
        </w:tc>
      </w:tr>
    </w:tbl>
    <w:p>
      <w:pPr>
        <w:spacing w:after="20"/>
      </w:pPr>
    </w:p>
    <w:p>
      <w:pPr>
        <w:pStyle w:val="Heading1"/>
      </w:pPr>
      <w:r>
        <w:t>Conclusion</w:t>
      </w:r>
    </w:p>
    <w:p>
      <w:pPr>
        <w:spacing w:after="100"/>
      </w:pPr>
      <w:r>
        <w:t>Version 0.82 is a patch release with material corrections. Gobekli Tepe is not modelled as a gazelle trap, slave-catcher, labour-control device, hunting office, or hidden fort. Hunting was not the broken system. First perceived wealth was the broken system.</w:t>
      </w:r>
    </w:p>
    <w:p>
      <w:pPr>
        <w:spacing w:after="100"/>
      </w:pPr>
      <w:r>
        <w:t>The core remains ritual-social: gathering, feasting, death practice, stone persons, animal imagery, identity, and regional memory. The central added layer is raider-risk deterrence at the farming hinge. The site may have stopped, taught, and warned small desperate raiding parties by giving outsiders roles before violence, and consequences if they ignored the roles. Its advantage was not only mechanical. It was impressive, memorable, social, architectural, and mythic.</w:t>
      </w:r>
    </w:p>
    <w:p>
      <w:pPr>
        <w:spacing w:after="100"/>
      </w:pPr>
      <w:r>
        <w:t>Final v0.82 formulation: Gobekli Tepe may show how ritual systems became warning architecture at the first dangerous perception of concentrated food, bone, labour, dead, reputation, and visibility. Raider-risk is not the whole site. It is the first-perceived-wealth problem that the site may have solved unusually well.</w:t>
      </w:r>
    </w:p>
    <w:p>
      <w:pPr>
        <w:pStyle w:val="Heading1"/>
      </w:pPr>
      <w:r>
        <w:t>References and source anchors</w:t>
      </w:r>
    </w:p>
    <w:p>
      <w:pPr>
        <w:spacing w:after="100"/>
      </w:pPr>
      <w:r>
        <w:rPr>
          <w:sz w:val="16"/>
        </w:rPr>
        <w:t>[1] UNESCO World Heritage Centre. Gobekli Tepe: dates, setting, T-pillars, and ritual framing. https://whc.unesco.org/en/list/1572/</w:t>
      </w:r>
    </w:p>
    <w:p>
      <w:pPr>
        <w:spacing w:after="100"/>
      </w:pPr>
      <w:r>
        <w:rPr>
          <w:sz w:val="16"/>
        </w:rPr>
        <w:t>[2] Dietrich et al. 2019. Cereal processing at Early Neolithic Gobekli Tepe, southeastern Turkey. PLOS ONE. https://journals.plos.org/plosone/article?id=10.1371/journal.pone.0215214</w:t>
      </w:r>
    </w:p>
    <w:p>
      <w:pPr>
        <w:spacing w:after="100"/>
      </w:pPr>
      <w:r>
        <w:rPr>
          <w:sz w:val="16"/>
        </w:rPr>
        <w:t>[3] Pollath et al. 2018. Almost a chest hit: an aurochs humerus with hunting lesion from Gobekli Tepe. Quaternary International. https://www.sciencedirect.com/science/article/abs/pii/S104061821731296X</w:t>
      </w:r>
    </w:p>
    <w:p>
      <w:pPr>
        <w:spacing w:after="100"/>
      </w:pPr>
      <w:r>
        <w:rPr>
          <w:sz w:val="16"/>
        </w:rPr>
        <w:t>[4] DAI, The Tepe Telegrams. On the hunt, some 12,000 years ago: an aurochs bone with hunting lesion from Gobekli Tepe. https://www.dainst.blog/the-tepe-telegrams/2018/01/17/on-the-hunt-some-12-000-years-ago-an-aurochs-bone-with-hunting-lesion-from-gobekli-tepe/</w:t>
      </w:r>
    </w:p>
    <w:p>
      <w:pPr>
        <w:spacing w:after="100"/>
      </w:pPr>
      <w:r>
        <w:rPr>
          <w:sz w:val="16"/>
        </w:rPr>
        <w:t>[5] Gresky et al. 2017. Modified human crania from Gobekli Tepe provide evidence for a new form of Neolithic skull practice. Science Advances. https://www.science.org/doi/10.1126/sciadv.1700564</w:t>
      </w:r>
    </w:p>
    <w:p>
      <w:pPr>
        <w:spacing w:after="100"/>
      </w:pPr>
      <w:r>
        <w:rPr>
          <w:sz w:val="16"/>
        </w:rPr>
        <w:t>[6] DAI, The Tepe Telegrams. Evidence for skull practice at Gobekli Tepe. https://www.dainst.blog/the-tepe-telegrams/2017/06/28/new-publication-in-science-advances-evidence-for-skull-cult-at-gobekli-tepe/</w:t>
      </w:r>
    </w:p>
    <w:p>
      <w:pPr>
        <w:spacing w:after="100"/>
      </w:pPr>
      <w:r>
        <w:rPr>
          <w:sz w:val="16"/>
        </w:rPr>
        <w:t>[7] Peters and Schmidt 2004. Animals in the symbolic world of Pre-Pottery Neolithic Gobekli Tepe. Anthropozoologica. https://sciencepress.mnhn.fr/en/periodiques/anthropozoologica/39/1/les-animaux-dans-le-monde-symbolique-du-ppnb-de-gobekli-tepe-turquie-du-sud-est-premiere-evaluation</w:t>
      </w:r>
    </w:p>
    <w:p>
      <w:pPr>
        <w:spacing w:after="100"/>
      </w:pPr>
      <w:r>
        <w:rPr>
          <w:sz w:val="16"/>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spacing w:after="100"/>
      </w:pPr>
      <w:r>
        <w:rPr>
          <w:sz w:val="16"/>
        </w:rPr>
        <w:t>[9] DAI, The Tepe Telegrams. Ritual practices and conflict mitigation at early Neolithic Kortik Tepe and Gobekli Tepe. https://www.dainst.blog/the-tepe-telegrams/2019/03/12/new-publication-ritual-practices-and-conflict-mitigation-at-early-neolithic-kortik-tepe-and-gobekli-tepe/</w:t>
      </w:r>
    </w:p>
    <w:p>
      <w:pPr>
        <w:spacing w:after="100"/>
      </w:pPr>
      <w:r>
        <w:rPr>
          <w:sz w:val="16"/>
        </w:rPr>
        <w:t>[10] Kinzel and colleagues. Built on Rock: reconstruction of the Neolithic topography of Gobekli Tepe. https://publications.dainst.org/journals/istmitt/article/view/4708/8479</w:t>
      </w:r>
    </w:p>
    <w:p>
      <w:pPr>
        <w:spacing w:after="100"/>
      </w:pPr>
      <w:r>
        <w:rPr>
          <w:sz w:val="16"/>
        </w:rPr>
        <w:t>[11] DAI, The Tepe Telegrams. T-pillars and anthropomorphic features. https://www.dainst.blog/the-tepe-telegrams/tag/t-pillars/</w:t>
      </w:r>
    </w:p>
    <w:p>
      <w:pPr>
        <w:spacing w:after="100"/>
      </w:pPr>
      <w:r>
        <w:rPr>
          <w:sz w:val="16"/>
        </w:rPr>
        <w:t>[12] The Tepe Telegrams. Current distribution of sites with T-shaped pillars. https://tepetelegrams.wordpress.com/2016/05/08/the-current-distribution-of-sites-with-t-shaped-pillars/</w:t>
      </w:r>
    </w:p>
    <w:p>
      <w:pPr>
        <w:spacing w:after="100"/>
      </w:pPr>
      <w:r>
        <w:rPr>
          <w:sz w:val="16"/>
        </w:rPr>
        <w:t>[13] Smith 2001. Low-Level Food Production. Journal of Archaeological Research. https://faculty.washington.edu/stevehar/Smith%202001-%20Low%20Level%20food%20Production.pdf</w:t>
      </w:r>
    </w:p>
    <w:p>
      <w:pPr>
        <w:spacing w:after="100"/>
      </w:pPr>
      <w:r>
        <w:rPr>
          <w:sz w:val="16"/>
        </w:rPr>
        <w:t>[14] Zeder 2011. The Origins of Agriculture in the Near East. Current Anthropology. https://www.journals.uchicago.edu/doi/10.1086/659307</w:t>
      </w:r>
    </w:p>
    <w:p>
      <w:pPr>
        <w:spacing w:after="100"/>
      </w:pPr>
      <w:r>
        <w:rPr>
          <w:sz w:val="16"/>
        </w:rPr>
        <w:t>[15] NIH Office of Dietary Supplements. Calcium fact sheet for health professionals. https://ods.od.nih.gov/factsheets/Calcium-HealthProfessional/</w:t>
      </w:r>
    </w:p>
    <w:p>
      <w:pPr>
        <w:spacing w:after="100"/>
      </w:pPr>
      <w:r>
        <w:rPr>
          <w:sz w:val="16"/>
        </w:rPr>
        <w:t>[16] Boskey and Coleman 2010. Bone composition and fragility. https://pmc.ncbi.nlm.nih.gov/articles/PMC3909232/</w:t>
      </w:r>
    </w:p>
    <w:p>
      <w:pPr>
        <w:spacing w:after="100"/>
      </w:pPr>
      <w:r>
        <w:rPr>
          <w:sz w:val="16"/>
        </w:rPr>
        <w:t>[17] Feedipedia. Bone meal datasheet. https://www.feedipedia.org/node/219</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Gobekli Tepe and the First-Perceived-Wealth Raider Problem | v0.82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2" w:lineRule="auto"/>
    </w:pPr>
    <w:rPr>
      <w:rFonts w:ascii="Liberation Serif" w:hAnsi="Liberation Serif" w:eastAsia="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52" w:lineRule="auto"/>
      <w:outlineLvl w:val="0"/>
    </w:pPr>
    <w:rPr>
      <w:rFonts w:asciiTheme="majorHAnsi" w:eastAsiaTheme="majorEastAsia" w:hAnsiTheme="majorHAnsi" w:cstheme="majorBidi" w:ascii="Liberation Sans" w:hAnsi="Liberation Sans" w:eastAsia="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0" w:after="100" w:line="252" w:lineRule="auto"/>
      <w:outlineLvl w:val="1"/>
    </w:pPr>
    <w:rPr>
      <w:rFonts w:asciiTheme="majorHAnsi" w:eastAsiaTheme="majorEastAsia" w:hAnsiTheme="majorHAnsi" w:cstheme="majorBidi" w:ascii="Liberation Sans" w:hAnsi="Liberation Sans" w:eastAsia="Liberation San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0" w:after="100" w:line="252" w:lineRule="auto"/>
      <w:outlineLvl w:val="2"/>
    </w:pPr>
    <w:rPr>
      <w:rFonts w:asciiTheme="majorHAnsi" w:eastAsiaTheme="majorEastAsia" w:hAnsiTheme="majorHAnsi" w:cstheme="majorBidi" w:ascii="Liberation Sans" w:hAnsi="Liberation Sans" w:eastAsia="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