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Gobekli Tepe and the First-Perceived-Wealth Raider Problem</w:t>
      </w:r>
    </w:p>
    <w:p>
      <w:pPr>
        <w:jc w:val="center"/>
      </w:pPr>
      <w:r>
        <w:rPr>
          <w:i/>
          <w:sz w:val="22"/>
        </w:rPr>
        <w:t>Warning Architecture, Ritual Utility, and Mogri at the Farming Hinge</w:t>
      </w:r>
    </w:p>
    <w:p>
      <w:pPr>
        <w:jc w:val="center"/>
      </w:pPr>
      <w:r>
        <w:t>Working paper v0.86 | 18 May 2026</w:t>
      </w:r>
    </w:p>
    <w:p>
      <w:pPr>
        <w:pStyle w:val="Heading1"/>
        <w:spacing w:before="120" w:after="80"/>
      </w:pPr>
      <w:r>
        <w:t>Abstract</w:t>
      </w:r>
    </w:p>
    <w:p>
      <w:pPr>
        <w:spacing w:after="80" w:line="252" w:lineRule="auto"/>
      </w:pPr>
      <w:r>
        <w:t>Version 0.86 keeps the rebuilt v0.83 structure and the v0.84/v0.85 reviewer patches, then adds three further calibrations. First, starvation does not have to respect taboo completely: the psychological threshold only needs to create a short hesitation or argument at the edge. Second, perceived wealth is reframed as information ecology: smoke, grinding sound, repeated visitors, feast traces, and mound-scale monumentality broadcast organized value. Third, micro-trace tests are tightened toward impact-diagnostic signatures rather than generic access-zone anomalies.</w:t>
      </w:r>
    </w:p>
    <w:p>
      <w:pPr>
        <w:spacing w:after="80" w:line="252" w:lineRule="auto"/>
      </w:pPr>
      <w:r>
        <w:t>The proposed layer is warning architecture inside a ceremonial system. Ritual is not treated as a cover for utility. Ritual is the medium through which useful action works: feeding, awe, guest roles, deterrence, fear, story, consequence, and memory. The core site reading remains ceremonial gathering, feasting, death practice, T-pillars as stone persons, social identity, and regional symbolic network. The added thesis is that this system may have reduced rare but severe raider risk by making failed attack memorable, by advertising coalition capacity, and by making attack feel costly before it began.</w:t>
      </w:r>
    </w:p>
    <w:p>
      <w:pPr>
        <w:pStyle w:val="Heading1"/>
        <w:spacing w:before="120" w:after="80"/>
      </w:pPr>
      <w:r>
        <w:t>Anti-misread note</w:t>
      </w:r>
    </w:p>
    <w:p>
      <w:pPr>
        <w:spacing w:after="80" w:line="252" w:lineRule="auto"/>
      </w:pPr>
      <w:r>
        <w:t>This paper does not propose that herds were driven into the central enclosures for mass slaughter, that T-pillars were fencing posts, that humans were captured as labour, that ritual was an excuse for economics, that large stores have been found, that attackers must sometimes succeed, or that direct raid proof already exists.</w:t>
      </w:r>
    </w:p>
    <w:p>
      <w:pPr>
        <w:spacing w:after="80" w:line="252" w:lineRule="auto"/>
      </w:pPr>
      <w:r>
        <w:t>This paper does propose that perceived wealth could generate raider pressure; that a major ritual group could advertise organized value without possessing a later-style granary; that the site could convert outsiders into guests, witnesses, allies, warned rivals, or failed attackers; that one or two serious incidents may be enough to alter architecture and generate legend; that a brief psychological delay may matter under stress; and that any tactical mechanism remains low-rank until future data demogrifies it.</w:t>
      </w:r>
    </w:p>
    <w:p>
      <w:pPr>
        <w:pStyle w:val="Heading1"/>
        <w:spacing w:before="120" w:after="80"/>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656"/>
            <w:shd w:fill="D9EAF7"/>
          </w:tcPr>
          <w:p>
            <w:pPr>
              <w:spacing w:after="0" w:before="0"/>
            </w:pPr>
            <w:r>
              <w:rPr>
                <w:b/>
                <w:sz w:val="18"/>
              </w:rPr>
            </w:r>
            <w:r>
              <w:rPr>
                <w:b/>
                <w:sz w:val="18"/>
              </w:rPr>
              <w:t>Rank</w:t>
            </w:r>
          </w:p>
        </w:tc>
        <w:tc>
          <w:tcPr>
            <w:tcW w:type="dxa" w:w="3168"/>
            <w:shd w:fill="D9EAF7"/>
          </w:tcPr>
          <w:p>
            <w:pPr>
              <w:spacing w:after="0" w:before="0"/>
            </w:pPr>
            <w:r>
              <w:rPr>
                <w:b/>
                <w:sz w:val="18"/>
              </w:rPr>
            </w:r>
            <w:r>
              <w:rPr>
                <w:b/>
                <w:sz w:val="18"/>
              </w:rPr>
              <w:t>Function</w:t>
            </w:r>
          </w:p>
        </w:tc>
        <w:tc>
          <w:tcPr>
            <w:tcW w:type="dxa" w:w="3024"/>
            <w:shd w:fill="D9EAF7"/>
          </w:tcPr>
          <w:p>
            <w:pPr>
              <w:spacing w:after="0" w:before="0"/>
            </w:pPr>
            <w:r>
              <w:rPr>
                <w:b/>
                <w:sz w:val="18"/>
              </w:rPr>
            </w:r>
            <w:r>
              <w:rPr>
                <w:b/>
                <w:sz w:val="18"/>
              </w:rPr>
              <w:t>Evidence status</w:t>
            </w:r>
          </w:p>
        </w:tc>
        <w:tc>
          <w:tcPr>
            <w:tcW w:type="dxa" w:w="3024"/>
            <w:shd w:fill="D9EAF7"/>
          </w:tcPr>
          <w:p>
            <w:pPr>
              <w:spacing w:after="0" w:before="0"/>
            </w:pPr>
            <w:r>
              <w:rPr>
                <w:b/>
                <w:sz w:val="18"/>
              </w:rPr>
              <w:t>Use in v0.86</w:t>
            </w:r>
          </w:p>
        </w:tc>
      </w:tr>
      <w:tr>
        <w:trPr>
          <w:cantSplit/>
        </w:trPr>
        <w:tc>
          <w:tcPr>
            <w:tcW w:type="dxa" w:w="1656"/>
            <w:vAlign w:val="top"/>
          </w:tcPr>
          <w:p>
            <w:pPr>
              <w:spacing w:after="0" w:before="0"/>
            </w:pPr>
            <w:r>
              <w:rPr>
                <w:sz w:val="18"/>
              </w:rPr>
            </w:r>
            <w:r>
              <w:rPr>
                <w:b w:val="0"/>
                <w:sz w:val="18"/>
              </w:rPr>
              <w:t>Core</w:t>
            </w:r>
          </w:p>
        </w:tc>
        <w:tc>
          <w:tcPr>
            <w:tcW w:type="dxa" w:w="3168"/>
            <w:vAlign w:val="top"/>
          </w:tcPr>
          <w:p>
            <w:pPr>
              <w:spacing w:after="0" w:before="0"/>
            </w:pPr>
            <w:r>
              <w:rPr>
                <w:sz w:val="18"/>
              </w:rPr>
            </w:r>
            <w:r>
              <w:rPr>
                <w:b w:val="0"/>
                <w:sz w:val="18"/>
              </w:rPr>
              <w:t>Ceremonial gathering, feasting, death practice, T-pillars as stone persons, social identity, regional symbolic network.</w:t>
            </w:r>
          </w:p>
        </w:tc>
        <w:tc>
          <w:tcPr>
            <w:tcW w:type="dxa" w:w="3024"/>
            <w:vAlign w:val="top"/>
          </w:tcPr>
          <w:p>
            <w:pPr>
              <w:spacing w:after="0" w:before="0"/>
            </w:pPr>
            <w:r>
              <w:rPr>
                <w:sz w:val="18"/>
              </w:rPr>
            </w:r>
            <w:r>
              <w:rPr>
                <w:b w:val="0"/>
                <w:sz w:val="18"/>
              </w:rPr>
              <w:t>Strongest fit to present published descriptions.</w:t>
            </w:r>
          </w:p>
        </w:tc>
        <w:tc>
          <w:tcPr>
            <w:tcW w:type="dxa" w:w="3024"/>
            <w:vAlign w:val="top"/>
          </w:tcPr>
          <w:p>
            <w:pPr>
              <w:spacing w:after="0" w:before="0"/>
            </w:pPr>
            <w:r>
              <w:rPr>
                <w:sz w:val="18"/>
              </w:rPr>
            </w:r>
            <w:r>
              <w:rPr>
                <w:b w:val="0"/>
                <w:sz w:val="18"/>
              </w:rPr>
              <w:t>Main frame. Not replaced.</w:t>
            </w:r>
          </w:p>
        </w:tc>
      </w:tr>
      <w:tr>
        <w:trPr>
          <w:cantSplit/>
        </w:trPr>
        <w:tc>
          <w:tcPr>
            <w:tcW w:type="dxa" w:w="1656"/>
            <w:vAlign w:val="top"/>
          </w:tcPr>
          <w:p>
            <w:pPr>
              <w:spacing w:after="0" w:before="0"/>
            </w:pPr>
            <w:r>
              <w:rPr>
                <w:sz w:val="18"/>
              </w:rPr>
            </w:r>
            <w:r>
              <w:rPr>
                <w:b w:val="0"/>
                <w:sz w:val="18"/>
              </w:rPr>
              <w:t>Central added layer</w:t>
            </w:r>
          </w:p>
        </w:tc>
        <w:tc>
          <w:tcPr>
            <w:tcW w:type="dxa" w:w="3168"/>
            <w:vAlign w:val="top"/>
          </w:tcPr>
          <w:p>
            <w:pPr>
              <w:spacing w:after="0" w:before="0"/>
            </w:pPr>
            <w:r>
              <w:rPr>
                <w:sz w:val="18"/>
              </w:rPr>
            </w:r>
            <w:r>
              <w:rPr>
                <w:b w:val="0"/>
                <w:sz w:val="18"/>
              </w:rPr>
              <w:t>First-perceived-wealth raider-risk deterrence: warning, guest-role conversion, intimidation, memory, rare failed attack.</w:t>
            </w:r>
          </w:p>
        </w:tc>
        <w:tc>
          <w:tcPr>
            <w:tcW w:type="dxa" w:w="3024"/>
            <w:vAlign w:val="top"/>
          </w:tcPr>
          <w:p>
            <w:pPr>
              <w:spacing w:after="0" w:before="0"/>
            </w:pPr>
            <w:r>
              <w:rPr>
                <w:sz w:val="18"/>
              </w:rPr>
            </w:r>
            <w:r>
              <w:rPr>
                <w:b w:val="0"/>
                <w:sz w:val="18"/>
              </w:rPr>
              <w:t>Compatible and testable, but direct raid proof is absent.</w:t>
            </w:r>
          </w:p>
        </w:tc>
        <w:tc>
          <w:tcPr>
            <w:tcW w:type="dxa" w:w="3024"/>
            <w:vAlign w:val="top"/>
          </w:tcPr>
          <w:p>
            <w:pPr>
              <w:spacing w:after="0" w:before="0"/>
            </w:pPr>
            <w:r>
              <w:rPr>
                <w:sz w:val="18"/>
              </w:rPr>
            </w:r>
            <w:r>
              <w:rPr>
                <w:b w:val="0"/>
                <w:sz w:val="18"/>
              </w:rPr>
              <w:t>Main new thesis layer.</w:t>
            </w:r>
          </w:p>
        </w:tc>
      </w:tr>
      <w:tr>
        <w:trPr>
          <w:cantSplit/>
        </w:trPr>
        <w:tc>
          <w:tcPr>
            <w:tcW w:type="dxa" w:w="1656"/>
            <w:vAlign w:val="top"/>
          </w:tcPr>
          <w:p>
            <w:pPr>
              <w:spacing w:after="0" w:before="0"/>
            </w:pPr>
            <w:r>
              <w:rPr>
                <w:sz w:val="18"/>
              </w:rPr>
            </w:r>
            <w:r>
              <w:rPr>
                <w:b w:val="0"/>
                <w:sz w:val="18"/>
              </w:rPr>
              <w:t>Supporting competence layer</w:t>
            </w:r>
          </w:p>
        </w:tc>
        <w:tc>
          <w:tcPr>
            <w:tcW w:type="dxa" w:w="3168"/>
            <w:vAlign w:val="top"/>
          </w:tcPr>
          <w:p>
            <w:pPr>
              <w:spacing w:after="0" w:before="0"/>
            </w:pPr>
            <w:r>
              <w:rPr>
                <w:sz w:val="18"/>
              </w:rPr>
            </w:r>
            <w:r>
              <w:rPr>
                <w:b w:val="0"/>
                <w:sz w:val="18"/>
              </w:rPr>
              <w:t>Hunting, feasting, animal danger, food processing, coordinated movement, large gatherings.</w:t>
            </w:r>
          </w:p>
        </w:tc>
        <w:tc>
          <w:tcPr>
            <w:tcW w:type="dxa" w:w="3024"/>
            <w:vAlign w:val="top"/>
          </w:tcPr>
          <w:p>
            <w:pPr>
              <w:spacing w:after="0" w:before="0"/>
            </w:pPr>
            <w:r>
              <w:rPr>
                <w:sz w:val="18"/>
              </w:rPr>
            </w:r>
            <w:r>
              <w:rPr>
                <w:b w:val="0"/>
                <w:sz w:val="18"/>
              </w:rPr>
              <w:t>Supported by fauna, aurochs hunting lesion, gazelle seasonality questions, and grinding/pounding tools.</w:t>
            </w:r>
          </w:p>
        </w:tc>
        <w:tc>
          <w:tcPr>
            <w:tcW w:type="dxa" w:w="3024"/>
            <w:vAlign w:val="top"/>
          </w:tcPr>
          <w:p>
            <w:pPr>
              <w:spacing w:after="0" w:before="0"/>
            </w:pPr>
            <w:r>
              <w:rPr>
                <w:sz w:val="18"/>
              </w:rPr>
            </w:r>
            <w:r>
              <w:rPr>
                <w:b w:val="0"/>
                <w:sz w:val="18"/>
              </w:rPr>
              <w:t>Shows competence. Does not make an animal-trap model.</w:t>
            </w:r>
          </w:p>
        </w:tc>
      </w:tr>
      <w:tr>
        <w:trPr>
          <w:cantSplit/>
        </w:trPr>
        <w:tc>
          <w:tcPr>
            <w:tcW w:type="dxa" w:w="1656"/>
            <w:vAlign w:val="top"/>
          </w:tcPr>
          <w:p>
            <w:pPr>
              <w:spacing w:after="0" w:before="0"/>
            </w:pPr>
            <w:r>
              <w:rPr>
                <w:sz w:val="18"/>
              </w:rPr>
            </w:r>
            <w:r>
              <w:rPr>
                <w:b w:val="0"/>
                <w:sz w:val="18"/>
              </w:rPr>
              <w:t>Speculative mechanisms</w:t>
            </w:r>
          </w:p>
        </w:tc>
        <w:tc>
          <w:tcPr>
            <w:tcW w:type="dxa" w:w="3168"/>
            <w:vAlign w:val="top"/>
          </w:tcPr>
          <w:p>
            <w:pPr>
              <w:spacing w:after="0" w:before="0"/>
            </w:pPr>
            <w:r>
              <w:rPr>
                <w:sz w:val="18"/>
              </w:rPr>
            </w:r>
            <w:r>
              <w:rPr>
                <w:b w:val="0"/>
                <w:sz w:val="18"/>
              </w:rPr>
              <w:t>Pantry lure, delay-and-drop, reroute, roof or upper-surface failure, predator bait, mortuary crisis roles.</w:t>
            </w:r>
          </w:p>
        </w:tc>
        <w:tc>
          <w:tcPr>
            <w:tcW w:type="dxa" w:w="3024"/>
            <w:vAlign w:val="top"/>
          </w:tcPr>
          <w:p>
            <w:pPr>
              <w:spacing w:after="0" w:before="0"/>
            </w:pPr>
            <w:r>
              <w:rPr>
                <w:sz w:val="18"/>
              </w:rPr>
            </w:r>
            <w:r>
              <w:rPr>
                <w:b w:val="0"/>
                <w:sz w:val="18"/>
              </w:rPr>
              <w:t>Unproven. Requires route, timber, repair, scatter, trauma, residue, and context testing.</w:t>
            </w:r>
          </w:p>
        </w:tc>
        <w:tc>
          <w:tcPr>
            <w:tcW w:type="dxa" w:w="3024"/>
            <w:vAlign w:val="top"/>
          </w:tcPr>
          <w:p>
            <w:pPr>
              <w:spacing w:after="0" w:before="0"/>
            </w:pPr>
            <w:r>
              <w:rPr>
                <w:sz w:val="18"/>
              </w:rPr>
            </w:r>
            <w:r>
              <w:rPr>
                <w:b w:val="0"/>
                <w:sz w:val="18"/>
              </w:rPr>
              <w:t>Mechanism proposals only.</w:t>
            </w:r>
          </w:p>
        </w:tc>
      </w:tr>
    </w:tbl>
    <w:p/>
    <w:p>
      <w:pPr>
        <w:pStyle w:val="Heading1"/>
        <w:spacing w:before="120" w:after="80"/>
      </w:pPr>
      <w:r>
        <w:t>Mogri method and terminology status</w:t>
      </w:r>
    </w:p>
    <w:p>
      <w:pPr>
        <w:spacing w:after="80" w:line="252" w:lineRule="auto"/>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80" w:line="252" w:lineRule="auto"/>
      </w:pPr>
      <w:r>
        <w:t>Mogri is used here as local analytic shorthand, not as a replacement for standard archaeological method. In conventional terms it points to underdetermination, formation processes, equifinality, missing perishable architecture, partial evidence, overinterpretation, and confidence ranking. The method guards against false demogrification: hunting evidence must not become an animal-trap conclusion; raider-risk must not become slave-catching; absence of stores must not erase perceived wealth; and ritual must not be treated as non-use.</w:t>
      </w:r>
    </w:p>
    <w:p>
      <w:pPr>
        <w:pStyle w:val="Heading1"/>
        <w:spacing w:before="120" w:after="80"/>
      </w:pPr>
      <w:r>
        <w:t>1. Baseline: site, dates, and main frame</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Version 0.86 accepts the ceremonial and feast frame as central. It asks whether that same system also helped address a new danger: a visible, reputed, successful group at the farming hinge could be perceived as a food-and-power address by hungry neighbours.</w:t>
      </w:r>
    </w:p>
    <w:p>
      <w:pPr>
        <w:pStyle w:val="Heading1"/>
        <w:spacing w:before="120" w:after="80"/>
      </w:pPr>
      <w:r>
        <w:t>2. Hunting was not the broken system</w:t>
      </w:r>
    </w:p>
    <w:p>
      <w:pPr>
        <w:spacing w:after="80" w:line="252" w:lineRule="auto"/>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80" w:line="252" w:lineRule="auto"/>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and visible social value: food that could be imagined as stealable, sunk labour, and reputation tied to place.</w:t>
      </w:r>
    </w:p>
    <w:p>
      <w:pPr>
        <w:pStyle w:val="Heading1"/>
        <w:spacing w:before="120" w:after="80"/>
      </w:pPr>
      <w:r>
        <w:t>3. First perceived wealth, not required granary wealth</w:t>
      </w:r>
    </w:p>
    <w:p>
      <w:pPr>
        <w:spacing w:after="80" w:line="252" w:lineRule="auto"/>
      </w:pPr>
      <w:r>
        <w:t>The raider attractor does not require a verified granary. A desperate outside group does not need an inventory. It needs signs: repeated feasts, smoke, grinding, arriving visitors, full bellies, bones, tools, water, dogs, stone bodies, unusual authority, and regional stories. This is information ecology. Some signals are involuntary broadcasts of resource density: noise from processing, smoke from cooking, smells from animal bodies, visitor movement, and visible work. Others are intentional counter-signals: stone erection, carving, ritual authority, and the display of coalition capacity.</w:t>
      </w:r>
    </w:p>
    <w:p>
      <w:pPr>
        <w:spacing w:after="80" w:line="252" w:lineRule="auto"/>
      </w:pPr>
      <w:r>
        <w:t>This is a material correction to earlier wording. The target is not necessarily a hidden horde. It is the belief that a known address contains access to food, power, tools, bodies, allies, and survival advantage. Before balances, ledgers, or coin, monumentality itself can advertise organized negotiable value. A group that can raise stone persons, host feasts, process food, move animal bodies, and gather allies is broadcasting capacity. That broadcast can attract risk; the monument language can answer it by saying the group is not an easy food pile.</w:t>
      </w:r>
    </w:p>
    <w:p>
      <w:pPr/>
      <w:r>
        <w:t>The payoff need not be a grain room. It might be food during an event, tool stock, hides, dogs, vessels, access to water, exchange leverage, captives, or alliance under pressure. It might also be no payoff at all because the attempt fails. The model requires perceived opportunity and occasional attempts, not repeated successful theft.</w:t>
      </w:r>
    </w:p>
    <w:p>
      <w:pPr>
        <w:pStyle w:val="Heading1"/>
        <w:spacing w:before="120" w:after="80"/>
      </w:pPr>
      <w:r>
        <w:t>4. The energy hump and event-rate problem</w:t>
      </w:r>
    </w:p>
    <w:p>
      <w:pPr>
        <w:spacing w:after="80" w:line="252" w:lineRule="auto"/>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80" w:line="252" w:lineRule="auto"/>
      </w:pPr>
      <w:r>
        <w:t>The model does not require repeated full-scale attacks, and it does not require successful raids. Across a long use-life and a regional gathering catchment, many local stress events could generate raider pressure without producing archaeologically visible battles at the core site. A failed winter, missed gazelle pulse, disease event, drought pocket, or broken exchange relation could make a nearby group consider theft or attack. Most such events may have ended as negotiation, warning, avoidance, joining, or aborted approach. One early incident could teach the resident group to reduce losses next time; one later spectacular failure could make the warning travel.</w:t>
      </w:r>
    </w:p>
    <w:p>
      <w:pPr>
        <w:pStyle w:val="Heading1"/>
        <w:spacing w:before="120" w:after="80"/>
      </w:pPr>
      <w:r>
        <w:t>5. Ritual is not subterfuge</w:t>
      </w:r>
    </w:p>
    <w:p>
      <w:pPr>
        <w:spacing w:after="80" w:line="252" w:lineRule="auto"/>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80" w:line="252" w:lineRule="auto"/>
      </w:pPr>
      <w:r>
        <w:t>The rank table is an analytic device for modern evidence-handling. It is not a claim that Pre-Pottery Neolithic people separated ritual, food, danger, memory, and deterrence into departments. In lived practice these roles were probably fused.</w:t>
      </w:r>
    </w:p>
    <w:p>
      <w:pPr>
        <w:pStyle w:val="Heading1"/>
        <w:spacing w:before="120" w:after="80"/>
      </w:pPr>
      <w:r>
        <w:t>6. Central enclosures as ritual core, not combat chamber</w:t>
      </w:r>
    </w:p>
    <w:p>
      <w:pPr>
        <w:spacing w:after="80" w:line="252" w:lineRule="auto"/>
      </w:pPr>
      <w:r>
        <w:t>The central enclosures are not proposed as the place where attackers are meant to be fought. Their inward-facing, semi-subterranean form strengthens the ritual-core reading. It does not need to become defensive architecture. The proposed tactical spaces, if they existed, would be approaches, thresholds, terraces, store-adjacent barriers, timber screens, temporary outer works, and route systems around the monumental core.</w:t>
      </w:r>
    </w:p>
    <w:p>
      <w:pPr>
        <w:spacing w:after="80" w:line="252" w:lineRule="auto"/>
      </w:pPr>
      <w:r>
        <w:t>This point prevents a bad geometry problem. Defenders inside a pit-like room would not be in the best tactical position against attackers above them. The warning-architecture claim instead concerns the whole site-world: approach, reputation, welcome, threshold, route, outer hazard, memory, and consequence.</w:t>
      </w:r>
    </w:p>
    <w:p>
      <w:pPr>
        <w:pStyle w:val="Heading1"/>
        <w:spacing w:before="120" w:after="80"/>
      </w:pPr>
      <w:r>
        <w:t>7. How warning architecture works</w:t>
      </w:r>
    </w:p>
    <w:p>
      <w:pPr>
        <w:spacing w:after="80" w:line="252" w:lineRule="auto"/>
      </w:pPr>
      <w:r>
        <w:t>The site may have given the resident group a survival advantage by shaping decisions before attack. Outsiders could arrive as guests, witnesses, rivals, affines, traders, supplicants, warned enemies, or raiders. The best outcome is conversion before violence. The next best outcome is failed attack that becomes shared warning memory. Attackers do not need to win for the system to matter. They need only try, fail, and be remembered.</w:t>
      </w:r>
    </w:p>
    <w:p>
      <w:pPr>
        <w:spacing w:after="80" w:line="252" w:lineRule="auto"/>
      </w:pPr>
      <w:r>
        <w:t>The goal is not to keep raiders. The goal is to stop raids from becoming siege, and to make the cost of attack travel farther than the attackers. A resident group learns from a dangerous attempt. The wider region learns from the story of failure. The stone falls once; the story falls many times.</w:t>
      </w:r>
    </w:p>
    <w:p>
      <w:pPr/>
      <w:r>
        <w:t>Starvation can weaken taboo and awe. The model does not require an absolute mental block. It requires a brief high-stress hesitation: a pause at a charged boundary, a glance upward, an argument between raiders, uncertainty about dogs, watchers, stones, allies, or consequence. In close asymmetric defence, a short delay can be enough for an alarm, a high-ground response, or a local deterrent to activate.</w:t>
      </w:r>
    </w:p>
    <w:p>
      <w:pPr>
        <w:pStyle w:val="Heading1"/>
        <w:spacing w:before="120" w:after="80"/>
      </w:pPr>
      <w:r>
        <w:t>8. Data spine: evidence matrix</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800"/>
            <w:shd w:fill="D9EAF7"/>
          </w:tcPr>
          <w:p>
            <w:pPr>
              <w:spacing w:after="0" w:before="0"/>
            </w:pPr>
            <w:r>
              <w:rPr>
                <w:b/>
                <w:sz w:val="18"/>
              </w:rPr>
            </w:r>
            <w:r>
              <w:rPr>
                <w:b/>
                <w:sz w:val="18"/>
              </w:rPr>
              <w:t>Strand</w:t>
            </w:r>
          </w:p>
        </w:tc>
        <w:tc>
          <w:tcPr>
            <w:tcW w:type="dxa" w:w="3240"/>
            <w:shd w:fill="D9EAF7"/>
          </w:tcPr>
          <w:p>
            <w:pPr>
              <w:spacing w:after="0" w:before="0"/>
            </w:pPr>
            <w:r>
              <w:rPr>
                <w:b/>
                <w:sz w:val="18"/>
              </w:rPr>
            </w:r>
            <w:r>
              <w:rPr>
                <w:b/>
                <w:sz w:val="18"/>
              </w:rPr>
              <w:t>Anchor</w:t>
            </w:r>
          </w:p>
        </w:tc>
        <w:tc>
          <w:tcPr>
            <w:tcW w:type="dxa" w:w="2880"/>
            <w:shd w:fill="D9EAF7"/>
          </w:tcPr>
          <w:p>
            <w:pPr>
              <w:spacing w:after="0" w:before="0"/>
            </w:pPr>
            <w:r>
              <w:rPr>
                <w:b/>
                <w:sz w:val="18"/>
              </w:rPr>
            </w:r>
            <w:r>
              <w:rPr>
                <w:b/>
                <w:sz w:val="18"/>
              </w:rPr>
              <w:t>Supports</w:t>
            </w:r>
          </w:p>
        </w:tc>
        <w:tc>
          <w:tcPr>
            <w:tcW w:type="dxa" w:w="2880"/>
            <w:shd w:fill="D9EAF7"/>
          </w:tcPr>
          <w:p>
            <w:pPr>
              <w:spacing w:after="0" w:before="0"/>
            </w:pPr>
            <w:r>
              <w:rPr>
                <w:b/>
                <w:sz w:val="18"/>
              </w:rPr>
            </w:r>
            <w:r>
              <w:rPr>
                <w:b/>
                <w:sz w:val="18"/>
              </w:rPr>
              <w:t>Limit</w:t>
            </w:r>
          </w:p>
        </w:tc>
      </w:tr>
      <w:tr>
        <w:trPr>
          <w:cantSplit/>
        </w:trPr>
        <w:tc>
          <w:tcPr>
            <w:tcW w:type="dxa" w:w="1800"/>
            <w:vAlign w:val="top"/>
          </w:tcPr>
          <w:p>
            <w:pPr>
              <w:spacing w:after="0" w:before="0"/>
            </w:pPr>
            <w:r>
              <w:rPr>
                <w:sz w:val="18"/>
              </w:rPr>
            </w:r>
            <w:r>
              <w:rPr>
                <w:b w:val="0"/>
                <w:sz w:val="18"/>
              </w:rPr>
              <w:t>Architecture</w:t>
            </w:r>
          </w:p>
        </w:tc>
        <w:tc>
          <w:tcPr>
            <w:tcW w:type="dxa" w:w="3240"/>
            <w:vAlign w:val="top"/>
          </w:tcPr>
          <w:p>
            <w:pPr>
              <w:spacing w:after="0" w:before="0"/>
            </w:pPr>
            <w:r>
              <w:rPr>
                <w:sz w:val="18"/>
              </w:rPr>
            </w:r>
            <w:r>
              <w:rPr>
                <w:b w:val="0"/>
                <w:sz w:val="18"/>
              </w:rPr>
              <w:t>Round-oval buildings c. 10-20 m inner diameter; central pillars up to 5.5 m; benches and wall-set pillars. [1], [2]</w:t>
            </w:r>
          </w:p>
        </w:tc>
        <w:tc>
          <w:tcPr>
            <w:tcW w:type="dxa" w:w="2880"/>
            <w:vAlign w:val="top"/>
          </w:tcPr>
          <w:p>
            <w:pPr>
              <w:spacing w:after="0" w:before="0"/>
            </w:pPr>
            <w:r>
              <w:rPr>
                <w:sz w:val="18"/>
              </w:rPr>
            </w:r>
            <w:r>
              <w:rPr>
                <w:b w:val="0"/>
                <w:sz w:val="18"/>
              </w:rPr>
              <w:t>Gathering, visibility, route shaping, possible timber-assisted staging.</w:t>
            </w:r>
          </w:p>
        </w:tc>
        <w:tc>
          <w:tcPr>
            <w:tcW w:type="dxa" w:w="2880"/>
            <w:vAlign w:val="top"/>
          </w:tcPr>
          <w:p>
            <w:pPr>
              <w:spacing w:after="0" w:before="0"/>
            </w:pPr>
            <w:r>
              <w:rPr>
                <w:sz w:val="18"/>
              </w:rPr>
            </w:r>
            <w:r>
              <w:rPr>
                <w:b w:val="0"/>
                <w:sz w:val="18"/>
              </w:rPr>
              <w:t>Does not prove tactical use.</w:t>
            </w:r>
          </w:p>
        </w:tc>
      </w:tr>
      <w:tr>
        <w:trPr>
          <w:cantSplit/>
        </w:trPr>
        <w:tc>
          <w:tcPr>
            <w:tcW w:type="dxa" w:w="1800"/>
            <w:vAlign w:val="top"/>
          </w:tcPr>
          <w:p>
            <w:pPr>
              <w:spacing w:after="0" w:before="0"/>
            </w:pPr>
            <w:r>
              <w:rPr>
                <w:sz w:val="18"/>
              </w:rPr>
            </w:r>
            <w:r>
              <w:rPr>
                <w:b w:val="0"/>
                <w:sz w:val="18"/>
              </w:rPr>
              <w:t>Food tools</w:t>
            </w:r>
          </w:p>
        </w:tc>
        <w:tc>
          <w:tcPr>
            <w:tcW w:type="dxa" w:w="3240"/>
            <w:vAlign w:val="top"/>
          </w:tcPr>
          <w:p>
            <w:pPr>
              <w:spacing w:after="0" w:before="0"/>
            </w:pPr>
            <w:r>
              <w:rPr>
                <w:sz w:val="18"/>
              </w:rPr>
            </w:r>
            <w:r>
              <w:rPr>
                <w:b w:val="0"/>
                <w:sz w:val="18"/>
              </w:rPr>
              <w:t>More than 7000 grinding and pounding artifacts, mostly cereal-related. [2]</w:t>
            </w:r>
          </w:p>
        </w:tc>
        <w:tc>
          <w:tcPr>
            <w:tcW w:type="dxa" w:w="2880"/>
            <w:vAlign w:val="top"/>
          </w:tcPr>
          <w:p>
            <w:pPr>
              <w:spacing w:after="0" w:before="0"/>
            </w:pPr>
            <w:r>
              <w:rPr>
                <w:sz w:val="18"/>
              </w:rPr>
            </w:r>
            <w:r>
              <w:rPr>
                <w:b w:val="0"/>
                <w:sz w:val="18"/>
              </w:rPr>
              <w:t>Feasting, labour concentration, early perceived food pressure.</w:t>
            </w:r>
          </w:p>
        </w:tc>
        <w:tc>
          <w:tcPr>
            <w:tcW w:type="dxa" w:w="2880"/>
            <w:vAlign w:val="top"/>
          </w:tcPr>
          <w:p>
            <w:pPr>
              <w:spacing w:after="0" w:before="0"/>
            </w:pPr>
            <w:r>
              <w:rPr>
                <w:sz w:val="18"/>
              </w:rPr>
            </w:r>
            <w:r>
              <w:rPr>
                <w:b w:val="0"/>
                <w:sz w:val="18"/>
              </w:rPr>
              <w:t>Large stores not identified in that study.</w:t>
            </w:r>
          </w:p>
        </w:tc>
      </w:tr>
      <w:tr>
        <w:trPr>
          <w:cantSplit/>
        </w:trPr>
        <w:tc>
          <w:tcPr>
            <w:tcW w:type="dxa" w:w="1800"/>
            <w:vAlign w:val="top"/>
          </w:tcPr>
          <w:p>
            <w:pPr>
              <w:spacing w:after="0" w:before="0"/>
            </w:pPr>
            <w:r>
              <w:rPr>
                <w:sz w:val="18"/>
              </w:rPr>
            </w:r>
            <w:r>
              <w:rPr>
                <w:b w:val="0"/>
                <w:sz w:val="18"/>
              </w:rPr>
              <w:t>Fauna and hunting</w:t>
            </w:r>
          </w:p>
        </w:tc>
        <w:tc>
          <w:tcPr>
            <w:tcW w:type="dxa" w:w="3240"/>
            <w:vAlign w:val="top"/>
          </w:tcPr>
          <w:p>
            <w:pPr>
              <w:spacing w:after="0" w:before="0"/>
            </w:pPr>
            <w:r>
              <w:rPr>
                <w:sz w:val="18"/>
              </w:rPr>
            </w:r>
            <w:r>
              <w:rPr>
                <w:b w:val="0"/>
                <w:sz w:val="18"/>
              </w:rPr>
              <w:t>Gazelle, aurochs, wild ass, boar, wild sheep/mouflon, fox; aurochs hunting lesion. [3], [4], [7], [8]</w:t>
            </w:r>
          </w:p>
        </w:tc>
        <w:tc>
          <w:tcPr>
            <w:tcW w:type="dxa" w:w="2880"/>
            <w:vAlign w:val="top"/>
          </w:tcPr>
          <w:p>
            <w:pPr>
              <w:spacing w:after="0" w:before="0"/>
            </w:pPr>
            <w:r>
              <w:rPr>
                <w:sz w:val="18"/>
              </w:rPr>
            </w:r>
            <w:r>
              <w:rPr>
                <w:b w:val="0"/>
                <w:sz w:val="18"/>
              </w:rPr>
              <w:t>Hunt and feast competence; dangerous body handling.</w:t>
            </w:r>
          </w:p>
        </w:tc>
        <w:tc>
          <w:tcPr>
            <w:tcW w:type="dxa" w:w="2880"/>
            <w:vAlign w:val="top"/>
          </w:tcPr>
          <w:p>
            <w:pPr>
              <w:spacing w:after="0" w:before="0"/>
            </w:pPr>
            <w:r>
              <w:rPr>
                <w:sz w:val="18"/>
              </w:rPr>
            </w:r>
            <w:r>
              <w:rPr>
                <w:b w:val="0"/>
                <w:sz w:val="18"/>
              </w:rPr>
              <w:t>Hunt evidence, not raid evidence.</w:t>
            </w:r>
          </w:p>
        </w:tc>
      </w:tr>
      <w:tr>
        <w:trPr>
          <w:cantSplit/>
        </w:trPr>
        <w:tc>
          <w:tcPr>
            <w:tcW w:type="dxa" w:w="1800"/>
            <w:vAlign w:val="top"/>
          </w:tcPr>
          <w:p>
            <w:pPr>
              <w:spacing w:after="0" w:before="0"/>
            </w:pPr>
            <w:r>
              <w:rPr>
                <w:sz w:val="18"/>
              </w:rPr>
            </w:r>
            <w:r>
              <w:rPr>
                <w:b w:val="0"/>
                <w:sz w:val="18"/>
              </w:rPr>
              <w:t>Human remains</w:t>
            </w:r>
          </w:p>
        </w:tc>
        <w:tc>
          <w:tcPr>
            <w:tcW w:type="dxa" w:w="3240"/>
            <w:vAlign w:val="top"/>
          </w:tcPr>
          <w:p>
            <w:pPr>
              <w:spacing w:after="0" w:before="0"/>
            </w:pPr>
            <w:r>
              <w:rPr>
                <w:sz w:val="18"/>
              </w:rPr>
            </w:r>
            <w:r>
              <w:rPr>
                <w:b w:val="0"/>
                <w:sz w:val="18"/>
              </w:rPr>
              <w:t>Modified skull fragments and scattered human bone in fill contexts. [5], [6]</w:t>
            </w:r>
          </w:p>
        </w:tc>
        <w:tc>
          <w:tcPr>
            <w:tcW w:type="dxa" w:w="2880"/>
            <w:vAlign w:val="top"/>
          </w:tcPr>
          <w:p>
            <w:pPr>
              <w:spacing w:after="0" w:before="0"/>
            </w:pPr>
            <w:r>
              <w:rPr>
                <w:sz w:val="18"/>
              </w:rPr>
            </w:r>
            <w:r>
              <w:rPr>
                <w:b w:val="0"/>
                <w:sz w:val="18"/>
              </w:rPr>
              <w:t>Death practice, memory, trace loss, mortuary ambiguity.</w:t>
            </w:r>
          </w:p>
        </w:tc>
        <w:tc>
          <w:tcPr>
            <w:tcW w:type="dxa" w:w="2880"/>
            <w:vAlign w:val="top"/>
          </w:tcPr>
          <w:p>
            <w:pPr>
              <w:spacing w:after="0" w:before="0"/>
            </w:pPr>
            <w:r>
              <w:rPr>
                <w:sz w:val="18"/>
              </w:rPr>
            </w:r>
            <w:r>
              <w:rPr>
                <w:b w:val="0"/>
                <w:sz w:val="18"/>
              </w:rPr>
              <w:t>Does not prove raid, siege, or conspecific consumption.</w:t>
            </w:r>
          </w:p>
        </w:tc>
      </w:tr>
      <w:tr>
        <w:trPr>
          <w:cantSplit/>
        </w:trPr>
        <w:tc>
          <w:tcPr>
            <w:tcW w:type="dxa" w:w="1800"/>
            <w:vAlign w:val="top"/>
          </w:tcPr>
          <w:p>
            <w:pPr>
              <w:spacing w:after="0" w:before="0"/>
            </w:pPr>
            <w:r>
              <w:rPr>
                <w:sz w:val="18"/>
              </w:rPr>
            </w:r>
            <w:r>
              <w:rPr>
                <w:b w:val="0"/>
                <w:sz w:val="18"/>
              </w:rPr>
              <w:t>Conflict background</w:t>
            </w:r>
          </w:p>
        </w:tc>
        <w:tc>
          <w:tcPr>
            <w:tcW w:type="dxa" w:w="3240"/>
            <w:vAlign w:val="top"/>
          </w:tcPr>
          <w:p>
            <w:pPr>
              <w:spacing w:after="0" w:before="0"/>
            </w:pPr>
            <w:r>
              <w:rPr>
                <w:sz w:val="18"/>
              </w:rPr>
            </w:r>
            <w:r>
              <w:rPr>
                <w:b w:val="0"/>
                <w:sz w:val="18"/>
              </w:rPr>
              <w:t>Kortik Tepe discussion notes interpersonal violence and conflict mitigation, with limited intergroup proxies. [9]</w:t>
            </w:r>
          </w:p>
        </w:tc>
        <w:tc>
          <w:tcPr>
            <w:tcW w:type="dxa" w:w="2880"/>
            <w:vAlign w:val="top"/>
          </w:tcPr>
          <w:p>
            <w:pPr>
              <w:spacing w:after="0" w:before="0"/>
            </w:pPr>
            <w:r>
              <w:rPr>
                <w:sz w:val="18"/>
              </w:rPr>
            </w:r>
            <w:r>
              <w:rPr>
                <w:b w:val="0"/>
                <w:sz w:val="18"/>
              </w:rPr>
              <w:t>Regional social heat and need for mitigation.</w:t>
            </w:r>
          </w:p>
        </w:tc>
        <w:tc>
          <w:tcPr>
            <w:tcW w:type="dxa" w:w="2880"/>
            <w:vAlign w:val="top"/>
          </w:tcPr>
          <w:p>
            <w:pPr>
              <w:spacing w:after="0" w:before="0"/>
            </w:pPr>
            <w:r>
              <w:rPr>
                <w:sz w:val="18"/>
              </w:rPr>
            </w:r>
            <w:r>
              <w:rPr>
                <w:b w:val="0"/>
                <w:sz w:val="18"/>
              </w:rPr>
              <w:t>Indirect comparison only.</w:t>
            </w:r>
          </w:p>
        </w:tc>
      </w:tr>
      <w:tr>
        <w:trPr>
          <w:cantSplit/>
        </w:trPr>
        <w:tc>
          <w:tcPr>
            <w:tcW w:type="dxa" w:w="1800"/>
            <w:vAlign w:val="top"/>
          </w:tcPr>
          <w:p>
            <w:pPr>
              <w:spacing w:after="0" w:before="0"/>
            </w:pPr>
            <w:r>
              <w:rPr>
                <w:sz w:val="18"/>
              </w:rPr>
            </w:r>
            <w:r>
              <w:rPr>
                <w:b w:val="0"/>
                <w:sz w:val="18"/>
              </w:rPr>
              <w:t>Stratigraphy and fill</w:t>
            </w:r>
          </w:p>
        </w:tc>
        <w:tc>
          <w:tcPr>
            <w:tcW w:type="dxa" w:w="3240"/>
            <w:vAlign w:val="top"/>
          </w:tcPr>
          <w:p>
            <w:pPr>
              <w:spacing w:after="0" w:before="0"/>
            </w:pPr>
            <w:r>
              <w:rPr>
                <w:sz w:val="18"/>
              </w:rPr>
            </w:r>
            <w:r>
              <w:rPr>
                <w:b w:val="0"/>
                <w:sz w:val="18"/>
              </w:rPr>
              <w:t>Built-on-rock work stresses complex mound formation, slope processes, repairs, and revision of older fill assumptions. [10]</w:t>
            </w:r>
          </w:p>
        </w:tc>
        <w:tc>
          <w:tcPr>
            <w:tcW w:type="dxa" w:w="2880"/>
            <w:vAlign w:val="top"/>
          </w:tcPr>
          <w:p>
            <w:pPr>
              <w:spacing w:after="0" w:before="0"/>
            </w:pPr>
            <w:r>
              <w:rPr>
                <w:sz w:val="18"/>
              </w:rPr>
            </w:r>
            <w:r>
              <w:rPr>
                <w:b w:val="0"/>
                <w:sz w:val="18"/>
              </w:rPr>
              <w:t>Need for sequence, route, and repair testing.</w:t>
            </w:r>
          </w:p>
        </w:tc>
        <w:tc>
          <w:tcPr>
            <w:tcW w:type="dxa" w:w="2880"/>
            <w:vAlign w:val="top"/>
          </w:tcPr>
          <w:p>
            <w:pPr>
              <w:spacing w:after="0" w:before="0"/>
            </w:pPr>
            <w:r>
              <w:rPr>
                <w:sz w:val="18"/>
              </w:rPr>
            </w:r>
            <w:r>
              <w:rPr>
                <w:b w:val="0"/>
                <w:sz w:val="18"/>
              </w:rPr>
              <w:t>Moved material can mimic tactical traces.</w:t>
            </w:r>
          </w:p>
        </w:tc>
      </w:tr>
    </w:tbl>
    <w:p/>
    <w:p>
      <w:pPr>
        <w:pStyle w:val="Heading1"/>
        <w:spacing w:before="120" w:after="80"/>
      </w:pPr>
      <w:r>
        <w:t>9. Layout, route, and queue metrics restored from v0.7</w:t>
      </w:r>
    </w:p>
    <w:p>
      <w:pPr>
        <w:spacing w:after="80" w:line="252" w:lineRule="auto"/>
      </w:pPr>
      <w:r>
        <w:t>The raider-risk model stays small-scale. It does not need herds or armies in the enclosures. It needs a front cluster of hungry people delayed, bunched, exposed, frightened, injured, blocked, or rerouted. These figures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2592"/>
            <w:shd w:fill="D9EAF7"/>
          </w:tcPr>
          <w:p>
            <w:pPr>
              <w:spacing w:after="0" w:before="0"/>
            </w:pPr>
            <w:r>
              <w:rPr>
                <w:b/>
                <w:sz w:val="18"/>
              </w:rPr>
            </w:r>
            <w:r>
              <w:rPr>
                <w:b/>
                <w:sz w:val="18"/>
              </w:rPr>
              <w:t>Feature model</w:t>
            </w:r>
          </w:p>
        </w:tc>
        <w:tc>
          <w:tcPr>
            <w:tcW w:type="dxa" w:w="4176"/>
            <w:shd w:fill="D9EAF7"/>
          </w:tcPr>
          <w:p>
            <w:pPr>
              <w:spacing w:after="0" w:before="0"/>
            </w:pPr>
            <w:r>
              <w:rPr>
                <w:b/>
                <w:sz w:val="18"/>
              </w:rPr>
            </w:r>
            <w:r>
              <w:rPr>
                <w:b/>
                <w:sz w:val="18"/>
              </w:rPr>
              <w:t>Example scale</w:t>
            </w:r>
          </w:p>
        </w:tc>
        <w:tc>
          <w:tcPr>
            <w:tcW w:type="dxa" w:w="3744"/>
            <w:shd w:fill="D9EAF7"/>
          </w:tcPr>
          <w:p>
            <w:pPr>
              <w:spacing w:after="0" w:before="0"/>
            </w:pPr>
            <w:r>
              <w:rPr>
                <w:b/>
                <w:sz w:val="18"/>
              </w:rPr>
            </w:r>
            <w:r>
              <w:rPr>
                <w:b/>
                <w:sz w:val="18"/>
              </w:rPr>
              <w:t>Interpretive use</w:t>
            </w:r>
          </w:p>
        </w:tc>
      </w:tr>
      <w:tr>
        <w:trPr>
          <w:cantSplit/>
        </w:trPr>
        <w:tc>
          <w:tcPr>
            <w:tcW w:type="dxa" w:w="2592"/>
            <w:vAlign w:val="top"/>
          </w:tcPr>
          <w:p>
            <w:pPr>
              <w:spacing w:after="0" w:before="0"/>
            </w:pPr>
            <w:r>
              <w:rPr>
                <w:sz w:val="18"/>
              </w:rPr>
            </w:r>
            <w:r>
              <w:rPr>
                <w:b w:val="0"/>
                <w:sz w:val="18"/>
              </w:rPr>
              <w:t>Circular enclosure area</w:t>
            </w:r>
          </w:p>
        </w:tc>
        <w:tc>
          <w:tcPr>
            <w:tcW w:type="dxa" w:w="4176"/>
            <w:vAlign w:val="top"/>
          </w:tcPr>
          <w:p>
            <w:pPr>
              <w:spacing w:after="0" w:before="0"/>
            </w:pPr>
            <w:r>
              <w:rPr>
                <w:sz w:val="18"/>
              </w:rPr>
            </w:r>
            <w:r>
              <w:rPr>
                <w:b w:val="0"/>
                <w:sz w:val="18"/>
              </w:rPr>
              <w:t>10 m diameter: c. 78.5 m2; 15 m: c. 176.7 m2; 20 m: c. 314.2 m2.</w:t>
            </w:r>
          </w:p>
        </w:tc>
        <w:tc>
          <w:tcPr>
            <w:tcW w:type="dxa" w:w="3744"/>
            <w:vAlign w:val="top"/>
          </w:tcPr>
          <w:p>
            <w:pPr>
              <w:spacing w:after="0" w:before="0"/>
            </w:pPr>
            <w:r>
              <w:rPr>
                <w:sz w:val="18"/>
              </w:rPr>
            </w:r>
            <w:r>
              <w:rPr>
                <w:b w:val="0"/>
                <w:sz w:val="18"/>
              </w:rPr>
              <w:t>Gathering scale, not animal-trap proof.</w:t>
            </w:r>
          </w:p>
        </w:tc>
      </w:tr>
      <w:tr>
        <w:trPr>
          <w:cantSplit/>
        </w:trPr>
        <w:tc>
          <w:tcPr>
            <w:tcW w:type="dxa" w:w="2592"/>
            <w:vAlign w:val="top"/>
          </w:tcPr>
          <w:p>
            <w:pPr>
              <w:spacing w:after="0" w:before="0"/>
            </w:pPr>
            <w:r>
              <w:rPr>
                <w:sz w:val="18"/>
              </w:rPr>
            </w:r>
            <w:r>
              <w:rPr>
                <w:b w:val="0"/>
                <w:sz w:val="18"/>
              </w:rPr>
              <w:t>Workable gathering capacity</w:t>
            </w:r>
          </w:p>
        </w:tc>
        <w:tc>
          <w:tcPr>
            <w:tcW w:type="dxa" w:w="4176"/>
            <w:vAlign w:val="top"/>
          </w:tcPr>
          <w:p>
            <w:pPr>
              <w:spacing w:after="0" w:before="0"/>
            </w:pPr>
            <w:r>
              <w:rPr>
                <w:sz w:val="18"/>
              </w:rPr>
            </w:r>
            <w:r>
              <w:rPr>
                <w:b w:val="0"/>
                <w:sz w:val="18"/>
              </w:rPr>
              <w:t>At 1.5 m2 per person: c. 52, 118, or 209 people for 10, 15, or 20 m diameter.</w:t>
            </w:r>
          </w:p>
        </w:tc>
        <w:tc>
          <w:tcPr>
            <w:tcW w:type="dxa" w:w="3744"/>
            <w:vAlign w:val="top"/>
          </w:tcPr>
          <w:p>
            <w:pPr>
              <w:spacing w:after="0" w:before="0"/>
            </w:pPr>
            <w:r>
              <w:rPr>
                <w:sz w:val="18"/>
              </w:rPr>
            </w:r>
            <w:r>
              <w:rPr>
                <w:b w:val="0"/>
                <w:sz w:val="18"/>
              </w:rPr>
              <w:t>Event and witness capacity, depending on layout.</w:t>
            </w:r>
          </w:p>
        </w:tc>
      </w:tr>
      <w:tr>
        <w:trPr>
          <w:cantSplit/>
        </w:trPr>
        <w:tc>
          <w:tcPr>
            <w:tcW w:type="dxa" w:w="2592"/>
            <w:vAlign w:val="top"/>
          </w:tcPr>
          <w:p>
            <w:pPr>
              <w:spacing w:after="0" w:before="0"/>
            </w:pPr>
            <w:r>
              <w:rPr>
                <w:sz w:val="18"/>
              </w:rPr>
            </w:r>
            <w:r>
              <w:rPr>
                <w:b w:val="0"/>
                <w:sz w:val="18"/>
              </w:rPr>
              <w:t>Narrow approach queue</w:t>
            </w:r>
          </w:p>
        </w:tc>
        <w:tc>
          <w:tcPr>
            <w:tcW w:type="dxa" w:w="4176"/>
            <w:vAlign w:val="top"/>
          </w:tcPr>
          <w:p>
            <w:pPr>
              <w:spacing w:after="0" w:before="0"/>
            </w:pPr>
            <w:r>
              <w:rPr>
                <w:sz w:val="18"/>
              </w:rPr>
            </w:r>
            <w:r>
              <w:rPr>
                <w:b w:val="0"/>
                <w:sz w:val="18"/>
              </w:rPr>
              <w:t>5 m x 1.2 m can hold roughly 6-10 bunched people.</w:t>
            </w:r>
          </w:p>
        </w:tc>
        <w:tc>
          <w:tcPr>
            <w:tcW w:type="dxa" w:w="3744"/>
            <w:vAlign w:val="top"/>
          </w:tcPr>
          <w:p>
            <w:pPr>
              <w:spacing w:after="0" w:before="0"/>
            </w:pPr>
            <w:r>
              <w:rPr>
                <w:sz w:val="18"/>
              </w:rPr>
            </w:r>
            <w:r>
              <w:rPr>
                <w:b w:val="0"/>
                <w:sz w:val="18"/>
              </w:rPr>
              <w:t>Tests delay-and-drop logic at a threshold.</w:t>
            </w:r>
          </w:p>
        </w:tc>
      </w:tr>
      <w:tr>
        <w:trPr>
          <w:cantSplit/>
        </w:trPr>
        <w:tc>
          <w:tcPr>
            <w:tcW w:type="dxa" w:w="2592"/>
            <w:vAlign w:val="top"/>
          </w:tcPr>
          <w:p>
            <w:pPr>
              <w:spacing w:after="0" w:before="0"/>
            </w:pPr>
            <w:r>
              <w:rPr>
                <w:sz w:val="18"/>
              </w:rPr>
            </w:r>
            <w:r>
              <w:rPr>
                <w:b w:val="0"/>
                <w:sz w:val="18"/>
              </w:rPr>
              <w:t>Drop or blockage strip</w:t>
            </w:r>
          </w:p>
        </w:tc>
        <w:tc>
          <w:tcPr>
            <w:tcW w:type="dxa" w:w="4176"/>
            <w:vAlign w:val="top"/>
          </w:tcPr>
          <w:p>
            <w:pPr>
              <w:spacing w:after="0" w:before="0"/>
            </w:pPr>
            <w:r>
              <w:rPr>
                <w:sz w:val="18"/>
              </w:rPr>
            </w:r>
            <w:r>
              <w:rPr>
                <w:b w:val="0"/>
                <w:sz w:val="18"/>
              </w:rPr>
              <w:t>4 m x 1 m can affect a front cluster.</w:t>
            </w:r>
          </w:p>
        </w:tc>
        <w:tc>
          <w:tcPr>
            <w:tcW w:type="dxa" w:w="3744"/>
            <w:vAlign w:val="top"/>
          </w:tcPr>
          <w:p>
            <w:pPr>
              <w:spacing w:after="0" w:before="0"/>
            </w:pPr>
            <w:r>
              <w:rPr>
                <w:sz w:val="18"/>
              </w:rPr>
            </w:r>
            <w:r>
              <w:rPr>
                <w:b w:val="0"/>
                <w:sz w:val="18"/>
              </w:rPr>
              <w:t>Small raiding-party scale, not mass battle scale.</w:t>
            </w:r>
          </w:p>
        </w:tc>
      </w:tr>
      <w:tr>
        <w:trPr>
          <w:cantSplit/>
        </w:trPr>
        <w:tc>
          <w:tcPr>
            <w:tcW w:type="dxa" w:w="2592"/>
            <w:vAlign w:val="top"/>
          </w:tcPr>
          <w:p>
            <w:pPr>
              <w:spacing w:after="0" w:before="0"/>
            </w:pPr>
            <w:r>
              <w:rPr>
                <w:sz w:val="18"/>
              </w:rPr>
            </w:r>
            <w:r>
              <w:rPr>
                <w:b w:val="0"/>
                <w:sz w:val="18"/>
              </w:rPr>
              <w:t>Pantry-like barrier</w:t>
            </w:r>
          </w:p>
        </w:tc>
        <w:tc>
          <w:tcPr>
            <w:tcW w:type="dxa" w:w="4176"/>
            <w:vAlign w:val="top"/>
          </w:tcPr>
          <w:p>
            <w:pPr>
              <w:spacing w:before="0" w:after="0"/>
            </w:pPr>
            <w:r>
              <w:rPr>
                <w:sz w:val="18"/>
              </w:rPr>
              <w:t>Hypothetical robust but porous barrier: visible or scent-linked reward with slow access.</w:t>
            </w:r>
          </w:p>
        </w:tc>
        <w:tc>
          <w:tcPr>
            <w:tcW w:type="dxa" w:w="3744"/>
            <w:vAlign w:val="top"/>
          </w:tcPr>
          <w:p>
            <w:pPr>
              <w:spacing w:before="0" w:after="0"/>
            </w:pPr>
            <w:r>
              <w:rPr>
                <w:sz w:val="18"/>
              </w:rPr>
              <w:t>Affordance test only. Could create delay, attention lock, and bunching if placed in a route that cannot simply be bypassed.</w:t>
            </w:r>
          </w:p>
        </w:tc>
      </w:tr>
    </w:tbl>
    <w:p/>
    <w:p>
      <w:pPr>
        <w:pStyle w:val="Heading1"/>
        <w:spacing w:before="120" w:after="80"/>
      </w:pPr>
      <w:r>
        <w:t>10. Store, pit, bone, and perceived-value scale checks</w:t>
      </w:r>
    </w:p>
    <w:p>
      <w:pPr>
        <w:spacing w:after="80" w:line="252" w:lineRule="auto"/>
      </w:pPr>
      <w:r>
        <w:t>The scale checks below are retained as affordance tests and maximums, not as claims that these specific storage, trap, water, or pantry features are demonstrated at Gobekli Tepe. They ask what relatively small volumes could mean if confirmed in the right context. They also help bound the perceived-value problem: even small concentrations of food, tools, bone, water, hides, or vessels can look life-saving to an outgroup under seasonal stress.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944"/>
            <w:shd w:fill="D9EAF7"/>
          </w:tcPr>
          <w:p>
            <w:pPr>
              <w:spacing w:after="0" w:before="0"/>
            </w:pPr>
            <w:r>
              <w:rPr>
                <w:b/>
                <w:sz w:val="18"/>
              </w:rPr>
            </w:r>
            <w:r>
              <w:rPr>
                <w:b/>
                <w:sz w:val="18"/>
              </w:rPr>
              <w:t>Quantity</w:t>
            </w:r>
          </w:p>
        </w:tc>
        <w:tc>
          <w:tcPr>
            <w:tcW w:type="dxa" w:w="3240"/>
            <w:shd w:fill="D9EAF7"/>
          </w:tcPr>
          <w:p>
            <w:pPr>
              <w:spacing w:after="0" w:before="0"/>
            </w:pPr>
            <w:r>
              <w:rPr>
                <w:b/>
                <w:sz w:val="18"/>
              </w:rPr>
            </w:r>
            <w:r>
              <w:rPr>
                <w:b/>
                <w:sz w:val="18"/>
              </w:rPr>
              <w:t>Scale check</w:t>
            </w:r>
          </w:p>
        </w:tc>
        <w:tc>
          <w:tcPr>
            <w:tcW w:type="dxa" w:w="3096"/>
            <w:shd w:fill="D9EAF7"/>
          </w:tcPr>
          <w:p>
            <w:pPr>
              <w:spacing w:after="0" w:before="0"/>
            </w:pPr>
            <w:r>
              <w:rPr>
                <w:b/>
                <w:sz w:val="18"/>
              </w:rPr>
            </w:r>
            <w:r>
              <w:rPr>
                <w:b/>
                <w:sz w:val="18"/>
              </w:rPr>
              <w:t>Interpretive value</w:t>
            </w:r>
          </w:p>
        </w:tc>
        <w:tc>
          <w:tcPr>
            <w:tcW w:type="dxa" w:w="2520"/>
            <w:shd w:fill="D9EAF7"/>
          </w:tcPr>
          <w:p>
            <w:pPr>
              <w:spacing w:after="0" w:before="0"/>
            </w:pPr>
            <w:r>
              <w:rPr>
                <w:b/>
                <w:sz w:val="18"/>
              </w:rPr>
            </w:r>
            <w:r>
              <w:rPr>
                <w:b/>
                <w:sz w:val="18"/>
              </w:rPr>
              <w:t>Data needed</w:t>
            </w:r>
          </w:p>
        </w:tc>
      </w:tr>
      <w:tr>
        <w:trPr>
          <w:cantSplit/>
        </w:trPr>
        <w:tc>
          <w:tcPr>
            <w:tcW w:type="dxa" w:w="1944"/>
            <w:vAlign w:val="top"/>
          </w:tcPr>
          <w:p>
            <w:pPr>
              <w:spacing w:after="0" w:before="0"/>
            </w:pPr>
            <w:r>
              <w:rPr>
                <w:sz w:val="18"/>
              </w:rPr>
            </w:r>
            <w:r>
              <w:rPr>
                <w:b w:val="0"/>
                <w:sz w:val="18"/>
              </w:rPr>
              <w:t>Dry cereal potential</w:t>
            </w:r>
          </w:p>
        </w:tc>
        <w:tc>
          <w:tcPr>
            <w:tcW w:type="dxa" w:w="3240"/>
            <w:vAlign w:val="top"/>
          </w:tcPr>
          <w:p>
            <w:pPr>
              <w:spacing w:after="0" w:before="0"/>
            </w:pPr>
            <w:r>
              <w:rPr>
                <w:sz w:val="18"/>
              </w:rPr>
            </w:r>
            <w:r>
              <w:rPr>
                <w:b w:val="0"/>
                <w:sz w:val="18"/>
              </w:rPr>
              <w:t>Modern cereal density of c. 700-800 kg/m3 and c. 3400 kcal/kg means 1 m3 can represent around 2.4-2.7 million kcal.</w:t>
            </w:r>
          </w:p>
        </w:tc>
        <w:tc>
          <w:tcPr>
            <w:tcW w:type="dxa" w:w="3096"/>
            <w:vAlign w:val="top"/>
          </w:tcPr>
          <w:p>
            <w:pPr>
              <w:spacing w:before="0" w:after="0"/>
            </w:pPr>
            <w:r>
              <w:rPr>
                <w:sz w:val="18"/>
              </w:rPr>
              <w:t>Affordance maximum: shows why modest food volumes could matter if confirmed. Does not prove storage or raid target.</w:t>
            </w:r>
          </w:p>
        </w:tc>
        <w:tc>
          <w:tcPr>
            <w:tcW w:type="dxa" w:w="2520"/>
            <w:vAlign w:val="top"/>
          </w:tcPr>
          <w:p>
            <w:pPr>
              <w:spacing w:after="0" w:before="0"/>
            </w:pPr>
            <w:r>
              <w:rPr>
                <w:sz w:val="18"/>
              </w:rPr>
            </w:r>
            <w:r>
              <w:rPr>
                <w:b w:val="0"/>
                <w:sz w:val="18"/>
              </w:rPr>
              <w:t>Actual storage features, residues, phytoliths, vessel or pit volumes.</w:t>
            </w:r>
          </w:p>
        </w:tc>
      </w:tr>
      <w:tr>
        <w:trPr>
          <w:cantSplit/>
        </w:trPr>
        <w:tc>
          <w:tcPr>
            <w:tcW w:type="dxa" w:w="1944"/>
            <w:vAlign w:val="top"/>
          </w:tcPr>
          <w:p>
            <w:pPr>
              <w:spacing w:after="0" w:before="0"/>
            </w:pPr>
            <w:r>
              <w:rPr>
                <w:sz w:val="18"/>
              </w:rPr>
            </w:r>
            <w:r>
              <w:rPr>
                <w:b w:val="0"/>
                <w:sz w:val="18"/>
              </w:rPr>
              <w:t>Small pit volume</w:t>
            </w:r>
          </w:p>
        </w:tc>
        <w:tc>
          <w:tcPr>
            <w:tcW w:type="dxa" w:w="3240"/>
            <w:vAlign w:val="top"/>
          </w:tcPr>
          <w:p>
            <w:pPr>
              <w:spacing w:after="0" w:before="0"/>
            </w:pPr>
            <w:r>
              <w:rPr>
                <w:sz w:val="18"/>
              </w:rPr>
            </w:r>
            <w:r>
              <w:rPr>
                <w:b w:val="0"/>
                <w:sz w:val="18"/>
              </w:rPr>
              <w:t>Cylinder, diameter 2 m, depth 1 m: c. 3.1 m3.</w:t>
            </w:r>
          </w:p>
        </w:tc>
        <w:tc>
          <w:tcPr>
            <w:tcW w:type="dxa" w:w="3096"/>
            <w:vAlign w:val="top"/>
          </w:tcPr>
          <w:p>
            <w:pPr>
              <w:spacing w:before="0" w:after="0"/>
            </w:pPr>
            <w:r>
              <w:rPr>
                <w:sz w:val="18"/>
              </w:rPr>
              <w:t>Affordance maximum only. Could matter for storage, fill, water, or later reuse if field context supports it.</w:t>
            </w:r>
          </w:p>
        </w:tc>
        <w:tc>
          <w:tcPr>
            <w:tcW w:type="dxa" w:w="2520"/>
            <w:vAlign w:val="top"/>
          </w:tcPr>
          <w:p>
            <w:pPr>
              <w:spacing w:after="0" w:before="0"/>
            </w:pPr>
            <w:r>
              <w:rPr>
                <w:sz w:val="18"/>
              </w:rPr>
            </w:r>
            <w:r>
              <w:rPr>
                <w:b w:val="0"/>
                <w:sz w:val="18"/>
              </w:rPr>
              <w:t>Mapped dimensions, deposits, access, sealing, sediment history.</w:t>
            </w:r>
          </w:p>
        </w:tc>
      </w:tr>
      <w:tr>
        <w:trPr>
          <w:cantSplit/>
        </w:trPr>
        <w:tc>
          <w:tcPr>
            <w:tcW w:type="dxa" w:w="1944"/>
            <w:vAlign w:val="top"/>
          </w:tcPr>
          <w:p>
            <w:pPr>
              <w:spacing w:after="0" w:before="0"/>
            </w:pPr>
            <w:r>
              <w:rPr>
                <w:sz w:val="18"/>
              </w:rPr>
            </w:r>
            <w:r>
              <w:rPr>
                <w:b w:val="0"/>
                <w:sz w:val="18"/>
              </w:rPr>
              <w:t>Medium pit volume</w:t>
            </w:r>
          </w:p>
        </w:tc>
        <w:tc>
          <w:tcPr>
            <w:tcW w:type="dxa" w:w="3240"/>
            <w:vAlign w:val="top"/>
          </w:tcPr>
          <w:p>
            <w:pPr>
              <w:spacing w:after="0" w:before="0"/>
            </w:pPr>
            <w:r>
              <w:rPr>
                <w:sz w:val="18"/>
              </w:rPr>
            </w:r>
            <w:r>
              <w:rPr>
                <w:b w:val="0"/>
                <w:sz w:val="18"/>
              </w:rPr>
              <w:t>Diameter 4 m, depth 1.5 m: c. 18.8 m3.</w:t>
            </w:r>
          </w:p>
        </w:tc>
        <w:tc>
          <w:tcPr>
            <w:tcW w:type="dxa" w:w="3096"/>
            <w:vAlign w:val="top"/>
          </w:tcPr>
          <w:p>
            <w:pPr>
              <w:spacing w:before="0" w:after="0"/>
            </w:pPr>
            <w:r>
              <w:rPr>
                <w:sz w:val="18"/>
              </w:rPr>
              <w:t>Affordance maximum only. Large enough to require interpretation if present, but not evidence of a defensive earthwork.</w:t>
            </w:r>
          </w:p>
        </w:tc>
        <w:tc>
          <w:tcPr>
            <w:tcW w:type="dxa" w:w="2520"/>
            <w:vAlign w:val="top"/>
          </w:tcPr>
          <w:p>
            <w:pPr>
              <w:spacing w:after="0" w:before="0"/>
            </w:pPr>
            <w:r>
              <w:rPr>
                <w:sz w:val="18"/>
              </w:rPr>
            </w:r>
            <w:r>
              <w:rPr>
                <w:b w:val="0"/>
                <w:sz w:val="18"/>
              </w:rPr>
              <w:t>Field dimensions, deposits, approach, fill sequence.</w:t>
            </w:r>
          </w:p>
        </w:tc>
      </w:tr>
      <w:tr>
        <w:trPr>
          <w:cantSplit/>
        </w:trPr>
        <w:tc>
          <w:tcPr>
            <w:tcW w:type="dxa" w:w="1944"/>
            <w:vAlign w:val="top"/>
          </w:tcPr>
          <w:p>
            <w:pPr>
              <w:spacing w:after="0" w:before="0"/>
            </w:pPr>
            <w:r>
              <w:rPr>
                <w:sz w:val="18"/>
              </w:rPr>
            </w:r>
            <w:r>
              <w:rPr>
                <w:b w:val="0"/>
                <w:sz w:val="18"/>
              </w:rPr>
              <w:t>Large animal handling</w:t>
            </w:r>
          </w:p>
        </w:tc>
        <w:tc>
          <w:tcPr>
            <w:tcW w:type="dxa" w:w="3240"/>
            <w:vAlign w:val="top"/>
          </w:tcPr>
          <w:p>
            <w:pPr>
              <w:spacing w:after="0" w:before="0"/>
            </w:pPr>
            <w:r>
              <w:rPr>
                <w:sz w:val="18"/>
              </w:rPr>
            </w:r>
            <w:r>
              <w:rPr>
                <w:b w:val="0"/>
                <w:sz w:val="18"/>
              </w:rPr>
              <w:t>One aurochs or several gazelle can supply feast-scale meat and bone.</w:t>
            </w:r>
          </w:p>
        </w:tc>
        <w:tc>
          <w:tcPr>
            <w:tcW w:type="dxa" w:w="3096"/>
            <w:vAlign w:val="top"/>
          </w:tcPr>
          <w:p>
            <w:pPr>
              <w:spacing w:after="0" w:before="0"/>
            </w:pPr>
            <w:r>
              <w:rPr>
                <w:sz w:val="18"/>
              </w:rPr>
            </w:r>
            <w:r>
              <w:rPr>
                <w:b w:val="0"/>
                <w:sz w:val="18"/>
              </w:rPr>
              <w:t>Supports hunt/feast competence before raider-risk.</w:t>
            </w:r>
          </w:p>
        </w:tc>
        <w:tc>
          <w:tcPr>
            <w:tcW w:type="dxa" w:w="2520"/>
            <w:vAlign w:val="top"/>
          </w:tcPr>
          <w:p>
            <w:pPr>
              <w:spacing w:after="0" w:before="0"/>
            </w:pPr>
            <w:r>
              <w:rPr>
                <w:sz w:val="18"/>
              </w:rPr>
            </w:r>
            <w:r>
              <w:rPr>
                <w:b w:val="0"/>
                <w:sz w:val="18"/>
              </w:rPr>
              <w:t>Taxon-by-context tallies, seasonality, age profiles, cut marks.</w:t>
            </w:r>
          </w:p>
        </w:tc>
      </w:tr>
      <w:tr>
        <w:trPr>
          <w:cantSplit/>
        </w:trPr>
        <w:tc>
          <w:tcPr>
            <w:tcW w:type="dxa" w:w="1944"/>
            <w:vAlign w:val="top"/>
          </w:tcPr>
          <w:p>
            <w:pPr>
              <w:spacing w:after="0" w:before="0"/>
            </w:pPr>
            <w:r>
              <w:rPr>
                <w:sz w:val="18"/>
              </w:rPr>
            </w:r>
            <w:r>
              <w:rPr>
                <w:b w:val="0"/>
                <w:sz w:val="18"/>
              </w:rPr>
              <w:t>Bone mineral store</w:t>
            </w:r>
          </w:p>
        </w:tc>
        <w:tc>
          <w:tcPr>
            <w:tcW w:type="dxa" w:w="3240"/>
            <w:vAlign w:val="top"/>
          </w:tcPr>
          <w:p>
            <w:pPr>
              <w:spacing w:after="0" w:before="0"/>
            </w:pPr>
            <w:r>
              <w:rPr>
                <w:sz w:val="18"/>
              </w:rPr>
            </w:r>
            <w:r>
              <w:rPr>
                <w:b w:val="0"/>
                <w:sz w:val="18"/>
              </w:rPr>
              <w:t>Bone meal tables list calcium-rich material in processed forms. [17]</w:t>
            </w:r>
          </w:p>
        </w:tc>
        <w:tc>
          <w:tcPr>
            <w:tcW w:type="dxa" w:w="3096"/>
            <w:vAlign w:val="top"/>
          </w:tcPr>
          <w:p>
            <w:pPr>
              <w:spacing w:after="0" w:before="0"/>
            </w:pPr>
            <w:r>
              <w:rPr>
                <w:sz w:val="18"/>
              </w:rPr>
            </w:r>
            <w:r>
              <w:rPr>
                <w:b w:val="0"/>
                <w:sz w:val="18"/>
              </w:rPr>
              <w:t>Bone is resident delayed value, not primary raider bait.</w:t>
            </w:r>
          </w:p>
        </w:tc>
        <w:tc>
          <w:tcPr>
            <w:tcW w:type="dxa" w:w="2520"/>
            <w:vAlign w:val="top"/>
          </w:tcPr>
          <w:p>
            <w:pPr>
              <w:spacing w:after="0" w:before="0"/>
            </w:pPr>
            <w:r>
              <w:rPr>
                <w:sz w:val="18"/>
              </w:rPr>
            </w:r>
            <w:r>
              <w:rPr>
                <w:b w:val="0"/>
                <w:sz w:val="18"/>
              </w:rPr>
              <w:t>Breakage, burning, crushing, boiling, grinding, cache, animal-gnaw patterns.</w:t>
            </w:r>
          </w:p>
        </w:tc>
      </w:tr>
      <w:tr>
        <w:trPr>
          <w:cantSplit/>
        </w:trPr>
        <w:tc>
          <w:tcPr>
            <w:tcW w:type="dxa" w:w="2556"/>
          </w:tcPr>
          <w:p>
            <w:pPr>
              <w:spacing w:before="0" w:after="0"/>
            </w:pPr>
            <w:r>
              <w:rPr>
                <w:sz w:val="18"/>
              </w:rPr>
              <w:t>Monumentality signal</w:t>
            </w:r>
          </w:p>
        </w:tc>
        <w:tc>
          <w:tcPr>
            <w:tcW w:type="dxa" w:w="2556"/>
          </w:tcPr>
          <w:p>
            <w:pPr>
              <w:spacing w:before="0" w:after="0"/>
            </w:pPr>
            <w:r>
              <w:rPr>
                <w:sz w:val="18"/>
              </w:rPr>
              <w:t>Large stones, skilled carving, repeated feasts, visitors, tools, smoke, and sound.</w:t>
            </w:r>
          </w:p>
        </w:tc>
        <w:tc>
          <w:tcPr>
            <w:tcW w:type="dxa" w:w="2556"/>
          </w:tcPr>
          <w:p>
            <w:pPr>
              <w:spacing w:before="0" w:after="0"/>
            </w:pPr>
            <w:r>
              <w:rPr>
                <w:sz w:val="18"/>
              </w:rPr>
              <w:t>Pre-accounting wealth signal: organized capacity, coalition reach, and negotiable value.</w:t>
            </w:r>
          </w:p>
        </w:tc>
        <w:tc>
          <w:tcPr>
            <w:tcW w:type="dxa" w:w="2556"/>
          </w:tcPr>
          <w:p>
            <w:pPr>
              <w:spacing w:before="0" w:after="0"/>
            </w:pPr>
            <w:r>
              <w:rPr>
                <w:sz w:val="18"/>
              </w:rPr>
              <w:t>Labour estimates, route data, visitor signatures, tool stock contexts, and regional comparison.</w:t>
            </w:r>
          </w:p>
        </w:tc>
      </w:tr>
    </w:tbl>
    <w:p/>
    <w:p>
      <w:pPr>
        <w:pStyle w:val="Heading1"/>
        <w:spacing w:before="120" w:after="80"/>
      </w:pPr>
      <w:r>
        <w:t>11. Faunal and lithic mapping work plan</w:t>
      </w:r>
    </w:p>
    <w:p>
      <w:pPr>
        <w:spacing w:after="80" w:line="252" w:lineRule="auto"/>
      </w:pPr>
      <w:r>
        <w:t>The next useful move is overlay work. Map animal bones by taxon, element, age, season, cut marks, burning, marrow breakage, gnawing, and fill context. Separate hunting debris, butchery debris, feast waste, closure deposits, slope-wash material, and possible repair rubble. Map lithics by type, including projectile fragments, impact fractures, blades, scrapers, heavy tools, ground stone, and debitage, but also map the ordinary baseline produced by grinding, trampling, tool repair, and routine discard.</w:t>
      </w:r>
    </w:p>
    <w:p>
      <w:pPr>
        <w:spacing w:after="80" w:line="252" w:lineRule="auto"/>
      </w:pPr>
      <w:r>
        <w:t>The hunt layer predicts animal-body handling, seasonal peaks, projectile evidence, and feast waste. The raider-risk layer predicts approach-zone anomalies, repair, line-break geometry, incoming or embedded point fragments, unusual rubble placement, and micro-stress patterns. These predictions only gain force if the patterns differ from ordinary occupation, tool refresh, processing, trampling, and fill movement.</w:t>
      </w:r>
    </w:p>
    <w:p>
      <w:pPr>
        <w:pStyle w:val="Heading1"/>
        <w:spacing w:before="120" w:after="80"/>
      </w:pPr>
      <w:r>
        <w:t>12. Projectiles: incoming, salvaged, and low-rank</w:t>
      </w:r>
    </w:p>
    <w:p>
      <w:pPr>
        <w:spacing w:after="80" w:line="252" w:lineRule="auto"/>
      </w:pPr>
      <w:r>
        <w:t>The model does not predict many outgoing defender projectiles. In the proposed delay-and-drop scenario, defenders wait until attackers are delayed, bunched, and attention-locked, then use height, stone, timber, clubs, axes, dogs, and reroute pressure. Projectile evidence, if any, is more likely to come from attackers firing or carrying stone points into the site. Metal arrowheads are not expected for this main period; flint, chert, and perhaps obsidian are the relevant materials.</w:t>
      </w:r>
    </w:p>
    <w:p>
      <w:pPr>
        <w:spacing w:after="80" w:line="252" w:lineRule="auto"/>
      </w:pPr>
      <w:r>
        <w:t>Salvage remains relevant, but v0.86 does not rely on tidy recovery of every visible point. The better target is unsalvageable micro-trace: impact-shattered tips, tiny spalls, micro-debitage ground into threshold fill, micro-damage on stone edges, localized soil chemistry, and fragments too small or embedded to recover after the event. The test should favour impact-diagnostic signatures over generic anomalies.</w:t>
      </w:r>
    </w:p>
    <w:p>
      <w:pPr/>
      <w:r>
        <w:t>Equifinality is a serious problem. Grinding stones, pounding tools, trampling, tool repair, domestic discard, slope movement, and later fill can all produce small fragments and battered surfaces. Micro-traces only matter if they form a spatial, material, and stratigraphic pattern that differs from that ordinary activity background. The strongest target would be impact-induced fracture wings, micro-striations, embedded tip fragments, stone-edge spalling, or SEM-level wear patterns consistent with high-energy contact rather than routine knapping or tool refresh.</w:t>
      </w:r>
    </w:p>
    <w:p>
      <w:pPr>
        <w:pStyle w:val="Heading1"/>
        <w:spacing w:before="120" w:after="80"/>
      </w:pPr>
      <w:r>
        <w:t>13. Bone, calcium, and delayed resident value</w:t>
      </w:r>
    </w:p>
    <w:p>
      <w:pPr>
        <w:spacing w:after="80" w:line="252" w:lineRule="auto"/>
      </w:pPr>
      <w:r>
        <w:t>First perceived wealth is not only grain. Stored or remembered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80" w:line="252" w:lineRule="auto"/>
      </w:pPr>
      <w:r>
        <w:t>This does not prove a calcium crisis at Gobekli Tepe, and bone is not proposed as a primary raid target. Bone belongs in the resident group’s delayed-value ecology. A group with grain but poor mineral intake, growing children, nursing mothers, and hard physical work may value bone long after meat and marrow have been removed.</w:t>
      </w:r>
    </w:p>
    <w:p>
      <w:pPr>
        <w:pStyle w:val="Heading1"/>
        <w:spacing w:before="120" w:after="80"/>
      </w:pPr>
      <w:r>
        <w:t>14. Regional network and warning reach</w:t>
      </w:r>
    </w:p>
    <w:p>
      <w:pPr>
        <w:spacing w:after="80" w:line="252" w:lineRule="auto"/>
      </w:pPr>
      <w:r>
        <w:t>Gobekli Tepe should not be treated as a lone stage. The wider Tas Tepeler landscape, related T-pillar traditions, shared motifs, visitor movement, and regional catchment matter. A single group known as the largest and best-fed nearby group could attract attention, but a regional network changes the risk calculation. Attacking one node may mean offending a wider web of kin, allies, ritual partners, and shared stone-language users.</w:t>
      </w:r>
    </w:p>
    <w:p>
      <w:pPr>
        <w:spacing w:after="80" w:line="252" w:lineRule="auto"/>
      </w:pPr>
      <w:r>
        <w:t>This network point strengthens perceived wealth without requiring a storehouse. A site can advertise coalition health, ritual authority, food competence, and negotiable value. Other T-pillar sites need not share the original GT problem. Once the monumental language existed, smaller or differently arranged sites could adopt it as coalition signalling, prestige echo, regional identity claim, or participation signal: we can raise stone persons too; we belong to this value world.</w:t>
      </w:r>
    </w:p>
    <w:p>
      <w:pPr>
        <w:pStyle w:val="Heading1"/>
        <w:spacing w:before="120" w:after="80"/>
      </w:pPr>
      <w:r>
        <w:t>15. Spatial anomaly test plan</w:t>
      </w:r>
    </w:p>
    <w:p>
      <w:pPr/>
      <w:r>
        <w:t>These tests must treat equifinality as the main pest. No single broken point, battered threshold, or residue patch would demogrify conflict. The target is a patterned anomaly: access-zone micro-fragments, impact-diagnostic stone-edge damage, soil markers, repair, route compression, and stratigraphy aligning in ways that ordinary grinding, trampling, tool refresh, feasting, and fill movement do not explain well.</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1872"/>
            <w:shd w:fill="D9EAF7"/>
          </w:tcPr>
          <w:p>
            <w:pPr>
              <w:spacing w:after="0" w:before="0"/>
            </w:pPr>
            <w:r>
              <w:rPr>
                <w:b/>
                <w:sz w:val="18"/>
              </w:rPr>
            </w:r>
            <w:r>
              <w:rPr>
                <w:b/>
                <w:sz w:val="18"/>
              </w:rPr>
              <w:t>Test target</w:t>
            </w:r>
          </w:p>
        </w:tc>
        <w:tc>
          <w:tcPr>
            <w:tcW w:type="dxa" w:w="4464"/>
            <w:shd w:fill="D9EAF7"/>
          </w:tcPr>
          <w:p>
            <w:pPr>
              <w:spacing w:after="0" w:before="0"/>
            </w:pPr>
            <w:r>
              <w:rPr>
                <w:b/>
                <w:sz w:val="18"/>
              </w:rPr>
            </w:r>
            <w:r>
              <w:rPr>
                <w:b/>
                <w:sz w:val="18"/>
              </w:rPr>
              <w:t>What to look for</w:t>
            </w:r>
          </w:p>
        </w:tc>
        <w:tc>
          <w:tcPr>
            <w:tcW w:type="dxa" w:w="4320"/>
            <w:shd w:fill="D9EAF7"/>
          </w:tcPr>
          <w:p>
            <w:pPr>
              <w:spacing w:after="0" w:before="0"/>
            </w:pPr>
            <w:r>
              <w:rPr>
                <w:b/>
                <w:sz w:val="18"/>
              </w:rPr>
            </w:r>
            <w:r>
              <w:rPr>
                <w:b/>
                <w:sz w:val="18"/>
              </w:rPr>
              <w:t>What it would demogrify</w:t>
            </w:r>
          </w:p>
        </w:tc>
      </w:tr>
      <w:tr>
        <w:trPr>
          <w:cantSplit/>
        </w:trPr>
        <w:tc>
          <w:tcPr>
            <w:tcW w:type="dxa" w:w="1872"/>
            <w:vAlign w:val="top"/>
          </w:tcPr>
          <w:p>
            <w:pPr>
              <w:spacing w:after="0" w:before="0"/>
            </w:pPr>
            <w:r>
              <w:rPr>
                <w:sz w:val="18"/>
              </w:rPr>
            </w:r>
            <w:r>
              <w:rPr>
                <w:b w:val="0"/>
                <w:sz w:val="18"/>
              </w:rPr>
              <w:t>Routes</w:t>
            </w:r>
          </w:p>
        </w:tc>
        <w:tc>
          <w:tcPr>
            <w:tcW w:type="dxa" w:w="4464"/>
            <w:vAlign w:val="top"/>
          </w:tcPr>
          <w:p>
            <w:pPr>
              <w:spacing w:after="0" w:before="0"/>
            </w:pPr>
            <w:r>
              <w:rPr>
                <w:sz w:val="18"/>
              </w:rPr>
            </w:r>
            <w:r>
              <w:rPr>
                <w:b w:val="0"/>
                <w:sz w:val="18"/>
              </w:rPr>
              <w:t>Plan overlays of approaches, thresholds, benches, terraces, possible platforms, and reroutes.</w:t>
            </w:r>
          </w:p>
        </w:tc>
        <w:tc>
          <w:tcPr>
            <w:tcW w:type="dxa" w:w="4320"/>
            <w:vAlign w:val="top"/>
          </w:tcPr>
          <w:p>
            <w:pPr>
              <w:spacing w:after="0" w:before="0"/>
            </w:pPr>
            <w:r>
              <w:rPr>
                <w:sz w:val="18"/>
              </w:rPr>
            </w:r>
            <w:r>
              <w:rPr>
                <w:b w:val="0"/>
                <w:sz w:val="18"/>
              </w:rPr>
              <w:t>Whether people could be delayed, bunched, observed, or redirected.</w:t>
            </w:r>
          </w:p>
        </w:tc>
      </w:tr>
      <w:tr>
        <w:trPr>
          <w:cantSplit/>
        </w:trPr>
        <w:tc>
          <w:tcPr>
            <w:tcW w:type="dxa" w:w="1872"/>
            <w:vAlign w:val="top"/>
          </w:tcPr>
          <w:p>
            <w:pPr>
              <w:spacing w:after="0" w:before="0"/>
            </w:pPr>
            <w:r>
              <w:rPr>
                <w:sz w:val="18"/>
              </w:rPr>
            </w:r>
            <w:r>
              <w:rPr>
                <w:b w:val="0"/>
                <w:sz w:val="18"/>
              </w:rPr>
              <w:t>Timber</w:t>
            </w:r>
          </w:p>
        </w:tc>
        <w:tc>
          <w:tcPr>
            <w:tcW w:type="dxa" w:w="4464"/>
            <w:vAlign w:val="top"/>
          </w:tcPr>
          <w:p>
            <w:pPr>
              <w:spacing w:after="0" w:before="0"/>
            </w:pPr>
            <w:r>
              <w:rPr>
                <w:sz w:val="18"/>
              </w:rPr>
            </w:r>
            <w:r>
              <w:rPr>
                <w:b w:val="0"/>
                <w:sz w:val="18"/>
              </w:rPr>
              <w:t>Postholes, sockets, impressions, roof or screen evidence, attachment marks.</w:t>
            </w:r>
          </w:p>
        </w:tc>
        <w:tc>
          <w:tcPr>
            <w:tcW w:type="dxa" w:w="4320"/>
            <w:vAlign w:val="top"/>
          </w:tcPr>
          <w:p>
            <w:pPr>
              <w:spacing w:after="0" w:before="0"/>
            </w:pPr>
            <w:r>
              <w:rPr>
                <w:sz w:val="18"/>
              </w:rPr>
            </w:r>
            <w:r>
              <w:rPr>
                <w:b w:val="0"/>
                <w:sz w:val="18"/>
              </w:rPr>
              <w:t>Whether lost architecture changed access, sightlines, or upper surfaces.</w:t>
            </w:r>
          </w:p>
        </w:tc>
      </w:tr>
      <w:tr>
        <w:trPr>
          <w:cantSplit/>
        </w:trPr>
        <w:tc>
          <w:tcPr>
            <w:tcW w:type="dxa" w:w="1872"/>
            <w:vAlign w:val="top"/>
          </w:tcPr>
          <w:p>
            <w:pPr>
              <w:spacing w:after="0" w:before="0"/>
            </w:pPr>
            <w:r>
              <w:rPr>
                <w:sz w:val="18"/>
              </w:rPr>
            </w:r>
            <w:r>
              <w:rPr>
                <w:b w:val="0"/>
                <w:sz w:val="18"/>
              </w:rPr>
              <w:t>Lithics</w:t>
            </w:r>
          </w:p>
        </w:tc>
        <w:tc>
          <w:tcPr>
            <w:tcW w:type="dxa" w:w="4464"/>
            <w:vAlign w:val="top"/>
          </w:tcPr>
          <w:p>
            <w:r>
              <w:t>Incoming or embedded point fragments, impact fractures, shattered tips, fracture wings, micro-striations, and micro-debitage distinct from tool refresh debris.</w:t>
            </w:r>
          </w:p>
        </w:tc>
        <w:tc>
          <w:tcPr>
            <w:tcW w:type="dxa" w:w="4320"/>
            <w:vAlign w:val="top"/>
          </w:tcPr>
          <w:p>
            <w:r>
              <w:t>Whether access zones carry impact-diagnostic micro-stress beyond knapping, grinding, trampling, tool repair, and discard.</w:t>
            </w:r>
          </w:p>
        </w:tc>
      </w:tr>
      <w:tr>
        <w:trPr>
          <w:cantSplit/>
        </w:trPr>
        <w:tc>
          <w:tcPr>
            <w:tcW w:type="dxa" w:w="1872"/>
            <w:vAlign w:val="top"/>
          </w:tcPr>
          <w:p>
            <w:pPr>
              <w:spacing w:after="0" w:before="0"/>
            </w:pPr>
            <w:r>
              <w:rPr>
                <w:sz w:val="18"/>
              </w:rPr>
            </w:r>
            <w:r>
              <w:rPr>
                <w:b w:val="0"/>
                <w:sz w:val="18"/>
              </w:rPr>
              <w:t>Soils</w:t>
            </w:r>
          </w:p>
        </w:tc>
        <w:tc>
          <w:tcPr>
            <w:tcW w:type="dxa" w:w="4464"/>
            <w:vAlign w:val="top"/>
          </w:tcPr>
          <w:p>
            <w:r>
              <w:t>Localized protein, lipid, phosphate, burning, compaction, trampling, and microstratigraphic patterning tied to route stress rather than ordinary activity.</w:t>
            </w:r>
          </w:p>
        </w:tc>
        <w:tc>
          <w:tcPr>
            <w:tcW w:type="dxa" w:w="4320"/>
            <w:vAlign w:val="top"/>
          </w:tcPr>
          <w:p>
            <w:r>
              <w:t>Whether threshold zones carried non-domestic duress that post-event tidying could not fully remove.</w:t>
            </w:r>
          </w:p>
        </w:tc>
      </w:tr>
      <w:tr>
        <w:trPr>
          <w:cantSplit/>
        </w:trPr>
        <w:tc>
          <w:tcPr>
            <w:tcW w:type="dxa" w:w="1872"/>
            <w:vAlign w:val="top"/>
          </w:tcPr>
          <w:p>
            <w:pPr>
              <w:spacing w:after="0" w:before="0"/>
            </w:pPr>
            <w:r>
              <w:rPr>
                <w:sz w:val="18"/>
              </w:rPr>
            </w:r>
            <w:r>
              <w:rPr>
                <w:b w:val="0"/>
                <w:sz w:val="18"/>
              </w:rPr>
              <w:t>Repair</w:t>
            </w:r>
          </w:p>
        </w:tc>
        <w:tc>
          <w:tcPr>
            <w:tcW w:type="dxa" w:w="4464"/>
            <w:vAlign w:val="top"/>
          </w:tcPr>
          <w:p>
            <w:pPr>
              <w:spacing w:after="0" w:before="0"/>
            </w:pPr>
            <w:r>
              <w:rPr>
                <w:sz w:val="18"/>
              </w:rPr>
            </w:r>
            <w:r>
              <w:rPr>
                <w:b w:val="0"/>
                <w:sz w:val="18"/>
              </w:rPr>
              <w:t>Blocked openings, rebuilt thresholds, patched wall areas, repeated stress zones.</w:t>
            </w:r>
          </w:p>
        </w:tc>
        <w:tc>
          <w:tcPr>
            <w:tcW w:type="dxa" w:w="4320"/>
            <w:vAlign w:val="top"/>
          </w:tcPr>
          <w:p>
            <w:pPr>
              <w:spacing w:after="0" w:before="0"/>
            </w:pPr>
            <w:r>
              <w:rPr>
                <w:sz w:val="18"/>
              </w:rPr>
            </w:r>
            <w:r>
              <w:rPr>
                <w:b w:val="0"/>
                <w:sz w:val="18"/>
              </w:rPr>
              <w:t>Whether movement routes carried unusual pressure.</w:t>
            </w:r>
          </w:p>
        </w:tc>
      </w:tr>
      <w:tr>
        <w:trPr>
          <w:cantSplit/>
        </w:trPr>
        <w:tc>
          <w:tcPr>
            <w:tcW w:type="dxa" w:w="1872"/>
            <w:vAlign w:val="top"/>
          </w:tcPr>
          <w:p>
            <w:pPr>
              <w:spacing w:after="0" w:before="0"/>
            </w:pPr>
            <w:r>
              <w:rPr>
                <w:sz w:val="18"/>
              </w:rPr>
            </w:r>
            <w:r>
              <w:rPr>
                <w:b w:val="0"/>
                <w:sz w:val="18"/>
              </w:rPr>
              <w:t>Human remains</w:t>
            </w:r>
          </w:p>
        </w:tc>
        <w:tc>
          <w:tcPr>
            <w:tcW w:type="dxa" w:w="4464"/>
            <w:vAlign w:val="top"/>
          </w:tcPr>
          <w:p>
            <w:pPr>
              <w:spacing w:after="0" w:before="0"/>
            </w:pPr>
            <w:r>
              <w:rPr>
                <w:sz w:val="18"/>
              </w:rPr>
            </w:r>
            <w:r>
              <w:rPr>
                <w:b w:val="0"/>
                <w:sz w:val="18"/>
              </w:rPr>
              <w:t>Skull handling, teeth, cut marks, animal damage, redeposited fragments, context links.</w:t>
            </w:r>
          </w:p>
        </w:tc>
        <w:tc>
          <w:tcPr>
            <w:tcW w:type="dxa" w:w="4320"/>
            <w:vAlign w:val="top"/>
          </w:tcPr>
          <w:p>
            <w:pPr>
              <w:spacing w:after="0" w:before="0"/>
            </w:pPr>
            <w:r>
              <w:rPr>
                <w:sz w:val="18"/>
              </w:rPr>
            </w:r>
            <w:r>
              <w:rPr>
                <w:b w:val="0"/>
                <w:sz w:val="18"/>
              </w:rPr>
              <w:t>Whether death practice, trace loss, or rare conflict roles can be separated.</w:t>
            </w:r>
          </w:p>
        </w:tc>
      </w:tr>
      <w:tr>
        <w:trPr>
          <w:cantSplit/>
        </w:trPr>
        <w:tc>
          <w:tcPr>
            <w:tcW w:type="dxa" w:w="1872"/>
            <w:vAlign w:val="top"/>
          </w:tcPr>
          <w:p>
            <w:pPr>
              <w:spacing w:after="0" w:before="0"/>
            </w:pPr>
            <w:r>
              <w:rPr>
                <w:sz w:val="18"/>
              </w:rPr>
            </w:r>
            <w:r>
              <w:rPr>
                <w:b w:val="0"/>
                <w:sz w:val="18"/>
              </w:rPr>
              <w:t>Visitors</w:t>
            </w:r>
          </w:p>
        </w:tc>
        <w:tc>
          <w:tcPr>
            <w:tcW w:type="dxa" w:w="4464"/>
            <w:vAlign w:val="top"/>
          </w:tcPr>
          <w:p>
            <w:pPr>
              <w:spacing w:after="0" w:before="0"/>
            </w:pPr>
            <w:r>
              <w:rPr>
                <w:sz w:val="18"/>
              </w:rPr>
            </w:r>
            <w:r>
              <w:rPr>
                <w:b w:val="0"/>
                <w:sz w:val="18"/>
              </w:rPr>
              <w:t>Isotopes, non-local materials, style links, exchange objects.</w:t>
            </w:r>
          </w:p>
        </w:tc>
        <w:tc>
          <w:tcPr>
            <w:tcW w:type="dxa" w:w="4320"/>
            <w:vAlign w:val="top"/>
          </w:tcPr>
          <w:p>
            <w:pPr>
              <w:spacing w:after="0" w:before="0"/>
            </w:pPr>
            <w:r>
              <w:rPr>
                <w:sz w:val="18"/>
              </w:rPr>
            </w:r>
            <w:r>
              <w:rPr>
                <w:b w:val="0"/>
                <w:sz w:val="18"/>
              </w:rPr>
              <w:t>Who came to the site and from how far.</w:t>
            </w:r>
          </w:p>
        </w:tc>
      </w:tr>
    </w:tbl>
    <w:p/>
    <w:p>
      <w:pPr>
        <w:pStyle w:val="Heading1"/>
        <w:spacing w:before="120" w:after="80"/>
      </w:pPr>
      <w:r>
        <w:t>16. Speculative mechanisms kept in rank</w:t>
      </w:r>
    </w:p>
    <w:p>
      <w:pPr>
        <w:pStyle w:val="Heading2"/>
        <w:spacing w:before="120" w:after="80"/>
      </w:pPr>
      <w:r>
        <w:t>16.1 Delay-and-drop</w:t>
      </w:r>
    </w:p>
    <w:p>
      <w:pPr>
        <w:spacing w:after="80" w:line="252" w:lineRule="auto"/>
      </w:pPr>
      <w:r>
        <w:t>The strongest tactical affordance remains a delay-and-drop sequence outside or at the edge of the ritual core, but v0.86 treats it as a psychological threshold first and a mechanical tactic second. Human raiders are not gazelles. They can notice a bottleneck, hesitate, flank, or retreat. Hunger may override taboo, but it does not erase uncertainty. The useful delay is a short cognitive catch at a charged boundary: visible reward, watching stone persons, noise, dogs, height, social danger, uncertain risk, and the pressure of a known powerful group. If attackers still commit, a pantry-like barrier or visible food threshold could hold lead attackers in a narrow working position while defenders above or beside the route use prepared stone, timber, close weapons, and reroute pressure.</w:t>
      </w:r>
    </w:p>
    <w:p>
      <w:pPr>
        <w:pStyle w:val="Heading2"/>
        <w:spacing w:before="120" w:after="80"/>
      </w:pPr>
      <w:r>
        <w:t>16.2 Roof or upper-surface failure</w:t>
      </w:r>
    </w:p>
    <w:p>
      <w:pPr>
        <w:spacing w:after="80" w:line="252"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120" w:after="80"/>
      </w:pPr>
      <w:r>
        <w:t>16.3 Mortuary crisis roles</w:t>
      </w:r>
    </w:p>
    <w:p>
      <w:pPr>
        <w:spacing w:after="80" w:line="252" w:lineRule="auto"/>
      </w:pPr>
      <w:r>
        <w:t>The paper uses the term conspecific consumption and does not infer routine practice. Published modified skull fragments are treated primarily as death practice, skull handling, memory, and body-work within the ritual-social core. Rare emergency retrieval, scavenger interaction, predator attraction, secondary handling, taboo storage, and trace-loss pathways are retained only as scarcity-ecology limit cases. They are not presented as the normal explanation for the skull material, and they require direct contextual support before gaining rank. [5], [6]</w:t>
      </w:r>
    </w:p>
    <w:p>
      <w:pPr>
        <w:pStyle w:val="Heading1"/>
        <w:spacing w:before="120" w:after="80"/>
      </w:pPr>
      <w:r>
        <w:t>17. T-pillars as mogri-rich stone persons</w:t>
      </w:r>
    </w:p>
    <w:p>
      <w:pPr>
        <w:spacing w:after="80" w:line="252"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52" w:lineRule="auto"/>
      </w:pPr>
      <w:r>
        <w:t>This paper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 Attackers are not entering a neutral work yard. They are approaching a charged social place full of watching stone bodies and stories about what happened last time.</w:t>
      </w:r>
    </w:p>
    <w:p>
      <w:pPr>
        <w:pStyle w:val="Heading1"/>
        <w:spacing w:before="120" w:after="80"/>
      </w:pPr>
      <w:r>
        <w:t>18. What would strengthen the model</w:t>
      </w:r>
    </w:p>
    <w:p>
      <w:pPr>
        <w:spacing w:after="80" w:line="252" w:lineRule="auto"/>
      </w:pPr>
      <w:r>
        <w:t>The model gains rank if plan overlays show meaningful route delay, observation, bunching, or reroute potential around approaches; if timber, screens, platforms, or upper surfaces can be reconstructed; if access-zone lithic fragments show impact-diagnostic signatures distinct from ordinary tool repair debris; if soil and microstratigraphy isolate route stress from grinding, trampling, and fill movement; if non-local visitor signatures support a broad catchment; if regional T-pillar sites show coalition signalling rather than identical function; and if repeated feast, tool, sound, smoke, visitor flow, and monumentality signals support perceived wealth as information ecology.</w:t>
      </w:r>
    </w:p>
    <w:p>
      <w:pPr>
        <w:pStyle w:val="Heading1"/>
        <w:spacing w:before="120" w:after="80"/>
      </w:pPr>
      <w:r>
        <w:t>19. What would weaken the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904"/>
            <w:shd w:fill="D9EAF7"/>
          </w:tcPr>
          <w:p>
            <w:pPr>
              <w:spacing w:after="0" w:before="0"/>
            </w:pPr>
            <w:r>
              <w:rPr>
                <w:b/>
                <w:sz w:val="18"/>
              </w:rPr>
            </w:r>
            <w:r>
              <w:rPr>
                <w:b/>
                <w:sz w:val="18"/>
              </w:rPr>
              <w:t>Weakening result</w:t>
            </w:r>
          </w:p>
        </w:tc>
        <w:tc>
          <w:tcPr>
            <w:tcW w:type="dxa" w:w="4608"/>
            <w:shd w:fill="D9EAF7"/>
          </w:tcPr>
          <w:p>
            <w:pPr>
              <w:spacing w:after="0" w:before="0"/>
            </w:pPr>
            <w:r>
              <w:rPr>
                <w:b/>
                <w:sz w:val="18"/>
              </w:rPr>
            </w:r>
            <w:r>
              <w:rPr>
                <w:b/>
                <w:sz w:val="18"/>
              </w:rPr>
              <w:t>Effect on model</w:t>
            </w:r>
          </w:p>
        </w:tc>
      </w:tr>
      <w:tr>
        <w:trPr>
          <w:cantSplit/>
        </w:trPr>
        <w:tc>
          <w:tcPr>
            <w:tcW w:type="dxa" w:w="5904"/>
            <w:vAlign w:val="top"/>
          </w:tcPr>
          <w:p>
            <w:pPr>
              <w:spacing w:after="0" w:before="0"/>
            </w:pPr>
            <w:r>
              <w:rPr>
                <w:sz w:val="18"/>
              </w:rPr>
            </w:r>
            <w:r>
              <w:rPr>
                <w:b w:val="0"/>
                <w:sz w:val="18"/>
              </w:rPr>
              <w:t>No meaningful route delay, observation, bunching, or reroute potential under plan overlay.</w:t>
            </w:r>
          </w:p>
        </w:tc>
        <w:tc>
          <w:tcPr>
            <w:tcW w:type="dxa" w:w="4608"/>
            <w:vAlign w:val="top"/>
          </w:tcPr>
          <w:p>
            <w:pPr>
              <w:spacing w:after="0" w:before="0"/>
            </w:pPr>
            <w:r>
              <w:rPr>
                <w:sz w:val="18"/>
              </w:rPr>
            </w:r>
            <w:r>
              <w:rPr>
                <w:b w:val="0"/>
                <w:sz w:val="18"/>
              </w:rPr>
              <w:t>Weakens the warning-architecture layer.</w:t>
            </w:r>
          </w:p>
        </w:tc>
      </w:tr>
      <w:tr>
        <w:trPr>
          <w:cantSplit/>
        </w:trPr>
        <w:tc>
          <w:tcPr>
            <w:tcW w:type="dxa" w:w="5904"/>
            <w:vAlign w:val="top"/>
          </w:tcPr>
          <w:p>
            <w:pPr>
              <w:spacing w:after="0" w:before="0"/>
            </w:pPr>
            <w:r>
              <w:rPr>
                <w:sz w:val="18"/>
              </w:rPr>
            </w:r>
            <w:r>
              <w:rPr>
                <w:b w:val="0"/>
                <w:sz w:val="18"/>
              </w:rPr>
              <w:t>No timber, roof, platform, screen, or access evidence after detailed study.</w:t>
            </w:r>
          </w:p>
        </w:tc>
        <w:tc>
          <w:tcPr>
            <w:tcW w:type="dxa" w:w="4608"/>
            <w:vAlign w:val="top"/>
          </w:tcPr>
          <w:p>
            <w:pPr>
              <w:spacing w:after="0" w:before="0"/>
            </w:pPr>
            <w:r>
              <w:rPr>
                <w:sz w:val="18"/>
              </w:rPr>
            </w:r>
            <w:r>
              <w:rPr>
                <w:b w:val="0"/>
                <w:sz w:val="18"/>
              </w:rPr>
              <w:t>Weakens delay-and-drop and roof-failure mechanisms.</w:t>
            </w:r>
          </w:p>
        </w:tc>
      </w:tr>
      <w:tr>
        <w:trPr>
          <w:cantSplit/>
        </w:trPr>
        <w:tc>
          <w:tcPr>
            <w:tcW w:type="dxa" w:w="5904"/>
            <w:vAlign w:val="top"/>
          </w:tcPr>
          <w:p>
            <w:pPr>
              <w:spacing w:after="0" w:before="0"/>
            </w:pPr>
            <w:r>
              <w:rPr>
                <w:sz w:val="18"/>
              </w:rPr>
            </w:r>
            <w:r>
              <w:rPr>
                <w:b w:val="0"/>
                <w:sz w:val="18"/>
              </w:rPr>
              <w:t>Food-processing evidence remains feast-scale with no reputation, storage, or perceived-wealth pathway.</w:t>
            </w:r>
          </w:p>
        </w:tc>
        <w:tc>
          <w:tcPr>
            <w:tcW w:type="dxa" w:w="4608"/>
            <w:vAlign w:val="top"/>
          </w:tcPr>
          <w:p>
            <w:pPr>
              <w:spacing w:after="0" w:before="0"/>
            </w:pPr>
            <w:r>
              <w:rPr>
                <w:sz w:val="18"/>
              </w:rPr>
            </w:r>
            <w:r>
              <w:rPr>
                <w:b w:val="0"/>
                <w:sz w:val="18"/>
              </w:rPr>
              <w:t>Weakens first-perceived-wealth pressure, though not feasting.</w:t>
            </w:r>
          </w:p>
        </w:tc>
      </w:tr>
      <w:tr>
        <w:trPr>
          <w:cantSplit/>
        </w:trPr>
        <w:tc>
          <w:tcPr>
            <w:tcW w:type="dxa" w:w="5904"/>
            <w:vAlign w:val="top"/>
          </w:tcPr>
          <w:p>
            <w:pPr>
              <w:spacing w:after="0" w:before="0"/>
            </w:pPr>
            <w:r>
              <w:rPr>
                <w:sz w:val="18"/>
              </w:rPr>
            </w:r>
            <w:r>
              <w:rPr>
                <w:b w:val="0"/>
                <w:sz w:val="18"/>
              </w:rPr>
              <w:t>Human remains are fully explained by later disturbance or unrelated fill movement.</w:t>
            </w:r>
          </w:p>
        </w:tc>
        <w:tc>
          <w:tcPr>
            <w:tcW w:type="dxa" w:w="4608"/>
            <w:vAlign w:val="top"/>
          </w:tcPr>
          <w:p>
            <w:pPr>
              <w:spacing w:after="0" w:before="0"/>
            </w:pPr>
            <w:r>
              <w:rPr>
                <w:sz w:val="18"/>
              </w:rPr>
            </w:r>
            <w:r>
              <w:rPr>
                <w:b w:val="0"/>
                <w:sz w:val="18"/>
              </w:rPr>
              <w:t>Weakens mortuary crisis and rare conflict readings.</w:t>
            </w:r>
          </w:p>
        </w:tc>
      </w:tr>
      <w:tr>
        <w:trPr>
          <w:cantSplit/>
        </w:trPr>
        <w:tc>
          <w:tcPr>
            <w:tcW w:type="dxa" w:w="5904"/>
            <w:vAlign w:val="top"/>
          </w:tcPr>
          <w:p>
            <w:r>
              <w:t>Lithic and soil data show no access-zone anomalies, or alleged anomalies cannot be separated from grinding, trampling, tool repair, domestic discard, and fill movement.</w:t>
            </w:r>
          </w:p>
        </w:tc>
        <w:tc>
          <w:tcPr>
            <w:tcW w:type="dxa" w:w="4608"/>
            <w:vAlign w:val="top"/>
          </w:tcPr>
          <w:p>
            <w:r>
              <w:t>Keeps tactical mechanisms very low-rank.</w:t>
            </w:r>
          </w:p>
        </w:tc>
      </w:tr>
      <w:tr>
        <w:trPr>
          <w:cantSplit/>
        </w:trPr>
        <w:tc>
          <w:tcPr>
            <w:tcW w:type="dxa" w:w="5904"/>
            <w:vAlign w:val="top"/>
          </w:tcPr>
          <w:p>
            <w:pPr>
              <w:spacing w:after="0" w:before="0"/>
            </w:pPr>
            <w:r>
              <w:rPr>
                <w:sz w:val="18"/>
              </w:rPr>
            </w:r>
            <w:r>
              <w:rPr>
                <w:b w:val="0"/>
                <w:sz w:val="18"/>
              </w:rPr>
              <w:t>A simpler model explains ritual, food, animal, death, route, and visibility data with fewer assumptions.</w:t>
            </w:r>
          </w:p>
        </w:tc>
        <w:tc>
          <w:tcPr>
            <w:tcW w:type="dxa" w:w="4608"/>
            <w:vAlign w:val="top"/>
          </w:tcPr>
          <w:p>
            <w:pPr>
              <w:spacing w:after="0" w:before="0"/>
            </w:pPr>
            <w:r>
              <w:rPr>
                <w:sz w:val="18"/>
              </w:rPr>
            </w:r>
            <w:r>
              <w:rPr>
                <w:b w:val="0"/>
                <w:sz w:val="18"/>
              </w:rPr>
              <w:t>The raider-risk layer should lose rank.</w:t>
            </w:r>
          </w:p>
        </w:tc>
      </w:tr>
      <w:tr>
        <w:trPr>
          <w:cantSplit/>
        </w:trPr>
        <w:tc>
          <w:tcPr>
            <w:tcW w:type="dxa" w:w="5112"/>
          </w:tcPr>
          <w:p>
            <w:pPr>
              <w:spacing w:before="0" w:after="0"/>
            </w:pPr>
            <w:r>
              <w:rPr>
                <w:sz w:val="18"/>
              </w:rPr>
              <w:t>T-pillar regional patterning shows identical function is required everywhere, or no meaningful coalition or emulation signal can be sustained.</w:t>
            </w:r>
          </w:p>
        </w:tc>
        <w:tc>
          <w:tcPr>
            <w:tcW w:type="dxa" w:w="5112"/>
          </w:tcPr>
          <w:p>
            <w:pPr>
              <w:spacing w:before="0" w:after="0"/>
            </w:pPr>
            <w:r>
              <w:rPr>
                <w:sz w:val="18"/>
              </w:rPr>
              <w:t>Weakens the prestige-echo and regional warning layer.</w:t>
            </w:r>
          </w:p>
        </w:tc>
      </w:tr>
      <w:tr>
        <w:tc>
          <w:tcPr>
            <w:tcW w:type="dxa" w:w="5112"/>
          </w:tcPr>
          <w:p>
            <w:r>
              <w:t>Perceived-wealth signals do not form a plausible information ecology: smoke, sound, visitor flow, tool stock, food work, and monumentality cannot be shown as repeated or visible enough to matter.</w:t>
            </w:r>
          </w:p>
        </w:tc>
        <w:tc>
          <w:tcPr>
            <w:tcW w:type="dxa" w:w="5112"/>
          </w:tcPr>
          <w:p>
            <w:r>
              <w:t>Weakens the raider-attractor layer while leaving ritual and feasting intact.</w:t>
            </w:r>
          </w:p>
        </w:tc>
      </w:tr>
    </w:tbl>
    <w:p/>
    <w:p>
      <w:pPr>
        <w:pStyle w:val="Heading1"/>
        <w:spacing w:before="120" w:after="80"/>
      </w:pPr>
      <w:r>
        <w:t>20. Public and academic language note</w:t>
      </w:r>
    </w:p>
    <w:p>
      <w:pPr>
        <w:spacing w:after="80" w:line="252" w:lineRule="auto"/>
      </w:pPr>
      <w:r>
        <w:t>Use warning architecture as the umbrella term. Use Raider Trap Layer only as a nickname for one secondary use, not as the academic title. Use threat management and deterrence rather than military purpose unless direct evidence appears. Use conspecific consumption for crisis possibility, and state that routine practice is not inferred.</w:t>
      </w:r>
    </w:p>
    <w:p>
      <w:pPr>
        <w:spacing w:after="80" w:line="252" w:lineRule="auto"/>
      </w:pPr>
      <w:r>
        <w:t>Use mogri terms sparingly in publication-facing prose. Define them once, translate them into standard archaeology vocabulary, and let them serve evidence handling rather than style. The terms are useful only if they stop false certainty, not if they protect a favourite story from testing.</w:t>
      </w:r>
    </w:p>
    <w:p>
      <w:pPr/>
      <w:r>
        <w:t>Footnote for v1.0 editorial pass: current drafts remain intentionally mogri-heavy so crawlers, cloners, and internal readers encounter the method in its native form. A publication-facing v1.0 should translate mogri-heavy table phrases into standard archaeology language while preserving the logic: unknowns that matter, false certainty, underdetermined variables, and evidence-rank discipline.</w:t>
      </w:r>
    </w:p>
    <w:p>
      <w:pPr>
        <w:pStyle w:val="Heading1"/>
        <w:spacing w:before="120" w:after="80"/>
      </w:pPr>
      <w:r>
        <w:t>Conclusion</w:t>
      </w:r>
    </w:p>
    <w:p>
      <w:pPr>
        <w:spacing w:after="80" w:line="252" w:lineRule="auto"/>
      </w:pPr>
      <w:r>
        <w:t>Version 0.86 keeps the rebuilt structure while adding the final patch notes from the v0.86 review cycle. Gobekli Tepe is not modelled as a gazelle trap, slave-catcher, labour-control device, hunting office, or granary fort. Hunting was not the broken system. First perceived wealth was the broken system. Attackers need not succeed. They need only sometimes try, hesitate, fail, and become a story.</w:t>
      </w:r>
    </w:p>
    <w:p>
      <w:pPr>
        <w:spacing w:after="80" w:line="252" w:lineRule="auto"/>
      </w:pPr>
      <w:r>
        <w:t>The core remains ritual-social: gathering, feasting, death practice, stone persons, animal imagery, identity, and regional memory. The central added layer is raider-risk deterrence at the farming hinge. Monumentality is treated as an early signal of organized negotiable value: the ability to gather bodies, move stone, host feasts, process food, hold dead, and summon allies. Information ecology connects the sensory broadcasts of food work to the intentional counter-signal of monumentality and coalition reach.</w:t>
      </w:r>
    </w:p>
    <w:p>
      <w:pPr>
        <w:spacing w:after="80" w:line="252" w:lineRule="auto"/>
      </w:pPr>
      <w:r>
        <w:t>Final v0.86 formulation: Gobekli Tepe may show how ritual systems became warning architecture at the first dangerous concentration of perceived food, bone, labour, dead, reputation, coalition reach, and visibility. Raider-risk is not the whole site. It is the first-perceived-wealth problem that the site may have solved unusually well through awe, warning, memory, and brief but decisive hesitation.</w:t>
      </w:r>
    </w:p>
    <w:p>
      <w:pPr>
        <w:pStyle w:val="Heading1"/>
        <w:spacing w:before="120" w:after="80"/>
      </w:pPr>
      <w:r>
        <w:t>References and source anchors</w:t>
      </w:r>
    </w:p>
    <w:p>
      <w:pPr>
        <w:spacing w:after="20" w:line="240" w:lineRule="auto"/>
      </w:pPr>
      <w:r>
        <w:rPr>
          <w:sz w:val="15"/>
        </w:rPr>
        <w:t>[1] UNESCO World Heritage Centre. Gobekli Tepe: dates, setting, T-pillars, and ritual framing. https://whc.unesco.org/en/list/1572/</w:t>
      </w:r>
    </w:p>
    <w:p>
      <w:pPr>
        <w:spacing w:after="20" w:line="240" w:lineRule="auto"/>
      </w:pPr>
      <w:r>
        <w:rPr>
          <w:sz w:val="15"/>
        </w:rPr>
        <w:t>[2] Dietrich et al. 2019. Cereal processing at Early Neolithic Gobekli Tepe, southeastern Turkey. PLOS ONE. https://journals.plos.org/plosone/article?id=10.1371/journal.pone.0215214</w:t>
      </w:r>
    </w:p>
    <w:p>
      <w:pPr>
        <w:spacing w:after="20" w:line="240" w:lineRule="auto"/>
      </w:pPr>
      <w:r>
        <w:rPr>
          <w:sz w:val="15"/>
        </w:rPr>
        <w:t>[3] Pollath et al. 2018. Almost a chest hit: an aurochs humerus with hunting lesion from Gobekli Tepe. Quaternary International. https://www.sciencedirect.com/science/article/abs/pii/S104061821731296X</w:t>
      </w:r>
    </w:p>
    <w:p>
      <w:pPr>
        <w:spacing w:after="20" w:line="240" w:lineRule="auto"/>
      </w:pPr>
      <w:r>
        <w:rPr>
          <w:sz w:val="15"/>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5"/>
        </w:rPr>
        <w:t>[5] Gresky et al. 2017. Modified human crania from Gobekli Tepe provide evidence for a new form of Neolithic skull practice. Science Advances. https://www.science.org/doi/10.1126/sciadv.1700564</w:t>
      </w:r>
    </w:p>
    <w:p>
      <w:pPr>
        <w:spacing w:after="20" w:line="240" w:lineRule="auto"/>
      </w:pPr>
      <w:r>
        <w:rPr>
          <w:sz w:val="15"/>
        </w:rPr>
        <w:t>[6] DAI, The Tepe Telegrams. Evidence for skull practice at Gobekli Tepe. https://www.dainst.blog/the-tepe-telegrams/2017/06/28/new-publication-in-science-advances-evidence-for-skull-cult-at-gobekli-tepe/</w:t>
      </w:r>
    </w:p>
    <w:p>
      <w:pPr>
        <w:spacing w:after="20" w:line="240" w:lineRule="auto"/>
      </w:pPr>
      <w:r>
        <w:rPr>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5"/>
        </w:rPr>
        <w:t>[10] Kinzel and colleagues. Built on Rock: reconstruction of the Neolithic topography of Gobekli Tepe. https://publications.dainst.org/journals/istmitt/article/view/4708/8479</w:t>
      </w:r>
    </w:p>
    <w:p>
      <w:pPr>
        <w:spacing w:after="20" w:line="240" w:lineRule="auto"/>
      </w:pPr>
      <w:r>
        <w:rPr>
          <w:sz w:val="15"/>
        </w:rPr>
        <w:t>[11] DAI, The Tepe Telegrams. T-pillars and anthropomorphic features. https://www.dainst.blog/the-tepe-telegrams/tag/t-pillars/</w:t>
      </w:r>
    </w:p>
    <w:p>
      <w:pPr>
        <w:spacing w:after="20" w:line="240" w:lineRule="auto"/>
      </w:pPr>
      <w:r>
        <w:rPr>
          <w:sz w:val="15"/>
        </w:rPr>
        <w:t>[12] The Tepe Telegrams. Current distribution of sites with T-shaped pillars. https://tepetelegrams.wordpress.com/2016/05/08/the-current-distribution-of-sites-with-t-shaped-pillars/</w:t>
      </w:r>
    </w:p>
    <w:p>
      <w:pPr>
        <w:spacing w:after="20" w:line="240" w:lineRule="auto"/>
      </w:pPr>
      <w:r>
        <w:rPr>
          <w:sz w:val="15"/>
        </w:rPr>
        <w:t>[13] Smith 2001. Low-Level Food Production. Journal of Archaeological Research. https://faculty.washington.edu/stevehar/Smith%202001-%20Low%20Level%20food%20Production.pdf</w:t>
      </w:r>
    </w:p>
    <w:p>
      <w:pPr>
        <w:spacing w:after="20" w:line="240" w:lineRule="auto"/>
      </w:pPr>
      <w:r>
        <w:rPr>
          <w:sz w:val="15"/>
        </w:rPr>
        <w:t>[14] Zeder 2011. The Origins of Agriculture in the Near East. Current Anthropology. https://www.journals.uchicago.edu/doi/10.1086/659307</w:t>
      </w:r>
    </w:p>
    <w:p>
      <w:pPr>
        <w:spacing w:after="20" w:line="240" w:lineRule="auto"/>
      </w:pPr>
      <w:r>
        <w:rPr>
          <w:sz w:val="15"/>
        </w:rPr>
        <w:t>[15] NIH Office of Dietary Supplements. Calcium fact sheet for health professionals. https://ods.od.nih.gov/factsheets/Calcium-HealthProfessional/</w:t>
      </w:r>
    </w:p>
    <w:p>
      <w:pPr>
        <w:spacing w:after="20" w:line="240" w:lineRule="auto"/>
      </w:pPr>
      <w:r>
        <w:rPr>
          <w:sz w:val="15"/>
        </w:rPr>
        <w:t>[16] Boskey and Coleman 2010. Bone composition and fragility. https://pmc.ncbi.nlm.nih.gov/articles/PMC3909232/</w:t>
      </w:r>
    </w:p>
    <w:p>
      <w:pPr>
        <w:spacing w:after="20" w:line="240" w:lineRule="auto"/>
      </w:pPr>
      <w:r>
        <w:rPr>
          <w:sz w:val="15"/>
        </w:rPr>
        <w:t>[17] Feedipedia. Bone meal datasheet. https://www.feedipedia.org/node/219</w:t>
      </w:r>
    </w:p>
    <w:p/>
    <w:p/>
    <w:p/>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and the First-Perceived-Wealth Raider Problem | v0.86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Gobekli Tepe and the First-Perceived-Wealth Raider Problem v0.86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