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Gobekli Tepe and the First-Perceived-Wealth Raider Problem</w:t>
      </w:r>
    </w:p>
    <w:p>
      <w:pPr>
        <w:jc w:val="center"/>
      </w:pPr>
      <w:r>
        <w:rPr>
          <w:i/>
          <w:sz w:val="22"/>
        </w:rPr>
        <w:t>Warning Architecture, Ritual Utility, and Mogri at the Farming Hinge</w:t>
      </w:r>
    </w:p>
    <w:p>
      <w:pPr>
        <w:jc w:val="center"/>
      </w:pPr>
      <w:r>
        <w:t>Working paper v0.87 | 18 May 2026</w:t>
      </w:r>
    </w:p>
    <w:p>
      <w:pPr>
        <w:pStyle w:val="Heading1"/>
        <w:spacing w:before="120" w:after="80"/>
      </w:pPr>
      <w:r>
        <w:t>Abstract</w:t>
      </w:r>
    </w:p>
    <w:p>
      <w:pPr>
        <w:spacing w:after="80" w:line="252" w:lineRule="auto"/>
      </w:pPr>
      <w:r>
        <w:t>Version 0.87 keeps the rebuilt v0.83 structure and the v0.84-v0.86 reviewer patches, then adds a fourth small calibration. Bone fragments and food waste are treated as secondary attractors in a scarcity ecology, but not as a new primary explanation. Suids, canids, vultures, and other scavengers may move or erase traces; large dangerous carnivores such as bears are treated mainly as competitor-displacement problems, not reliable meat sources.</w:t>
      </w:r>
    </w:p>
    <w:p>
      <w:pPr>
        <w:spacing w:after="80" w:line="252" w:lineRule="auto"/>
      </w:pPr>
      <w:r>
        <w:t>The proposed layer is warning architecture inside a ceremonial system. Ritual is not treated as a cover for utility. Ritual is the medium through which useful action works: feeding, awe, guest roles, deterrence, fear, story, consequence, and memory. The core site reading remains ceremonial gathering, feasting, death practice, T-pillars as stone persons, social identity, and regional symbolic network. The added thesis is that this system may have reduced rare but severe raider risk by making failed attack memorable, by advertising coalition capacity, and by making attack feel costly before it began.</w:t>
      </w:r>
    </w:p>
    <w:p>
      <w:pPr>
        <w:pStyle w:val="Heading1"/>
        <w:spacing w:before="120" w:after="80"/>
      </w:pPr>
      <w:r>
        <w:t>Anti-misread note</w:t>
      </w:r>
    </w:p>
    <w:p>
      <w:pPr>
        <w:spacing w:after="80" w:line="252" w:lineRule="auto"/>
      </w:pPr>
      <w:r>
        <w:t>This paper does not propose that herds were driven into the central enclosures for mass slaughter, that T-pillars were fencing posts, that humans were captured or administered as labour, that ritual was a cover story for tactical mechanics, that large stores have already been found, that useful projectile points must remain where they fell, or that bone-fragment attractors were a primary site function. Direct raid proof is still absent.</w:t>
      </w:r>
    </w:p>
    <w:p>
      <w:pPr>
        <w:spacing w:after="80" w:line="252" w:lineRule="auto"/>
      </w:pPr>
      <w:r>
        <w:t>This paper does propose that perceived wealth could generate raider pressure; that a major ritual group could advertise organized value without possessing a later-style granary; that the site could convert outsiders into guests, witnesses, allies, warned rivals, or failed attackers; that one or two serious incidents may be enough to alter architecture and generate legend; that a brief psychological delay may matter under stress; that bone waste can belong to trace-loss and competitor-displacement ecology; and that any tactical mechanism remains low-rank until future data demogrifies it.</w:t>
      </w:r>
    </w:p>
    <w:p>
      <w:pPr>
        <w:pStyle w:val="Heading1"/>
        <w:spacing w:before="120" w:after="80"/>
      </w:pPr>
      <w:r>
        <w:t>Claim status and rank discipline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656"/>
            <w:shd w:fill="D9EAF7"/>
          </w:tcPr>
          <w:p>
            <w:pPr>
              <w:spacing w:after="0" w:before="0"/>
            </w:pPr>
            <w:r>
              <w:rPr>
                <w:b/>
                <w:sz w:val="18"/>
              </w:rPr>
            </w:r>
            <w:r>
              <w:rPr>
                <w:b/>
                <w:sz w:val="18"/>
              </w:rPr>
              <w:t>Rank</w:t>
            </w:r>
          </w:p>
        </w:tc>
        <w:tc>
          <w:tcPr>
            <w:tcW w:type="dxa" w:w="3168"/>
            <w:shd w:fill="D9EAF7"/>
          </w:tcPr>
          <w:p>
            <w:pPr>
              <w:spacing w:after="0" w:before="0"/>
            </w:pPr>
            <w:r>
              <w:rPr>
                <w:b/>
                <w:sz w:val="18"/>
              </w:rPr>
            </w:r>
            <w:r>
              <w:rPr>
                <w:b/>
                <w:sz w:val="18"/>
              </w:rPr>
              <w:t>Function</w:t>
            </w:r>
          </w:p>
        </w:tc>
        <w:tc>
          <w:tcPr>
            <w:tcW w:type="dxa" w:w="3024"/>
            <w:shd w:fill="D9EAF7"/>
          </w:tcPr>
          <w:p>
            <w:pPr>
              <w:spacing w:after="0" w:before="0"/>
            </w:pPr>
            <w:r>
              <w:rPr>
                <w:b/>
                <w:sz w:val="18"/>
              </w:rPr>
            </w:r>
            <w:r>
              <w:rPr>
                <w:b/>
                <w:sz w:val="18"/>
              </w:rPr>
              <w:t>Evidence status</w:t>
            </w:r>
          </w:p>
        </w:tc>
        <w:tc>
          <w:tcPr>
            <w:tcW w:type="dxa" w:w="3024"/>
            <w:shd w:fill="D9EAF7"/>
          </w:tcPr>
          <w:p>
            <w:pPr>
              <w:spacing w:after="0" w:before="0"/>
            </w:pPr>
            <w:r>
              <w:rPr>
                <w:b/>
                <w:sz w:val="18"/>
              </w:rPr>
              <w:t>Use in v0.87</w:t>
            </w:r>
          </w:p>
        </w:tc>
      </w:tr>
      <w:tr>
        <w:trPr>
          <w:cantSplit/>
        </w:trPr>
        <w:tc>
          <w:tcPr>
            <w:tcW w:type="dxa" w:w="1656"/>
            <w:vAlign w:val="top"/>
          </w:tcPr>
          <w:p>
            <w:pPr>
              <w:spacing w:after="0" w:before="0"/>
            </w:pPr>
            <w:r>
              <w:rPr>
                <w:sz w:val="18"/>
              </w:rPr>
            </w:r>
            <w:r>
              <w:rPr>
                <w:b w:val="0"/>
                <w:sz w:val="18"/>
              </w:rPr>
              <w:t>Core</w:t>
            </w:r>
          </w:p>
        </w:tc>
        <w:tc>
          <w:tcPr>
            <w:tcW w:type="dxa" w:w="3168"/>
            <w:vAlign w:val="top"/>
          </w:tcPr>
          <w:p>
            <w:pPr>
              <w:spacing w:after="0" w:before="0"/>
            </w:pPr>
            <w:r>
              <w:rPr>
                <w:sz w:val="18"/>
              </w:rPr>
            </w:r>
            <w:r>
              <w:rPr>
                <w:b w:val="0"/>
                <w:sz w:val="18"/>
              </w:rPr>
              <w:t>Ceremonial gathering, feasting, death practice, T-pillars as stone persons, social identity, regional symbolic network.</w:t>
            </w:r>
          </w:p>
        </w:tc>
        <w:tc>
          <w:tcPr>
            <w:tcW w:type="dxa" w:w="3024"/>
            <w:vAlign w:val="top"/>
          </w:tcPr>
          <w:p>
            <w:pPr>
              <w:spacing w:after="0" w:before="0"/>
            </w:pPr>
            <w:r>
              <w:rPr>
                <w:sz w:val="18"/>
              </w:rPr>
            </w:r>
            <w:r>
              <w:rPr>
                <w:b w:val="0"/>
                <w:sz w:val="18"/>
              </w:rPr>
              <w:t>Strongest fit to present published descriptions.</w:t>
            </w:r>
          </w:p>
        </w:tc>
        <w:tc>
          <w:tcPr>
            <w:tcW w:type="dxa" w:w="3024"/>
            <w:vAlign w:val="top"/>
          </w:tcPr>
          <w:p>
            <w:pPr>
              <w:spacing w:after="0" w:before="0"/>
            </w:pPr>
            <w:r>
              <w:rPr>
                <w:sz w:val="18"/>
              </w:rPr>
            </w:r>
            <w:r>
              <w:rPr>
                <w:b w:val="0"/>
                <w:sz w:val="18"/>
              </w:rPr>
              <w:t>Main frame. Not replaced.</w:t>
            </w:r>
          </w:p>
        </w:tc>
      </w:tr>
      <w:tr>
        <w:trPr>
          <w:cantSplit/>
        </w:trPr>
        <w:tc>
          <w:tcPr>
            <w:tcW w:type="dxa" w:w="1656"/>
            <w:vAlign w:val="top"/>
          </w:tcPr>
          <w:p>
            <w:pPr>
              <w:spacing w:after="0" w:before="0"/>
            </w:pPr>
            <w:r>
              <w:rPr>
                <w:sz w:val="18"/>
              </w:rPr>
            </w:r>
            <w:r>
              <w:rPr>
                <w:b w:val="0"/>
                <w:sz w:val="18"/>
              </w:rPr>
              <w:t>Central added layer</w:t>
            </w:r>
          </w:p>
        </w:tc>
        <w:tc>
          <w:tcPr>
            <w:tcW w:type="dxa" w:w="3168"/>
            <w:vAlign w:val="top"/>
          </w:tcPr>
          <w:p>
            <w:pPr>
              <w:spacing w:after="0" w:before="0"/>
            </w:pPr>
            <w:r>
              <w:rPr>
                <w:sz w:val="18"/>
              </w:rPr>
            </w:r>
            <w:r>
              <w:rPr>
                <w:b w:val="0"/>
                <w:sz w:val="18"/>
              </w:rPr>
              <w:t>First-perceived-wealth raider-risk deterrence: warning, guest-role conversion, intimidation, memory, rare failed attack.</w:t>
            </w:r>
          </w:p>
        </w:tc>
        <w:tc>
          <w:tcPr>
            <w:tcW w:type="dxa" w:w="3024"/>
            <w:vAlign w:val="top"/>
          </w:tcPr>
          <w:p>
            <w:pPr>
              <w:spacing w:after="0" w:before="0"/>
            </w:pPr>
            <w:r>
              <w:rPr>
                <w:sz w:val="18"/>
              </w:rPr>
            </w:r>
            <w:r>
              <w:rPr>
                <w:b w:val="0"/>
                <w:sz w:val="18"/>
              </w:rPr>
              <w:t>Compatible and testable, but direct raid proof is absent.</w:t>
            </w:r>
          </w:p>
        </w:tc>
        <w:tc>
          <w:tcPr>
            <w:tcW w:type="dxa" w:w="3024"/>
            <w:vAlign w:val="top"/>
          </w:tcPr>
          <w:p>
            <w:pPr>
              <w:spacing w:after="0" w:before="0"/>
            </w:pPr>
            <w:r>
              <w:rPr>
                <w:sz w:val="18"/>
              </w:rPr>
            </w:r>
            <w:r>
              <w:rPr>
                <w:b w:val="0"/>
                <w:sz w:val="18"/>
              </w:rPr>
              <w:t>Main new thesis layer.</w:t>
            </w:r>
          </w:p>
        </w:tc>
      </w:tr>
      <w:tr>
        <w:trPr>
          <w:cantSplit/>
        </w:trPr>
        <w:tc>
          <w:tcPr>
            <w:tcW w:type="dxa" w:w="1656"/>
            <w:vAlign w:val="top"/>
          </w:tcPr>
          <w:p>
            <w:pPr>
              <w:spacing w:after="0" w:before="0"/>
            </w:pPr>
            <w:r>
              <w:rPr>
                <w:sz w:val="18"/>
              </w:rPr>
            </w:r>
            <w:r>
              <w:rPr>
                <w:b w:val="0"/>
                <w:sz w:val="18"/>
              </w:rPr>
              <w:t>Supporting competence layer</w:t>
            </w:r>
          </w:p>
        </w:tc>
        <w:tc>
          <w:tcPr>
            <w:tcW w:type="dxa" w:w="3168"/>
            <w:vAlign w:val="top"/>
          </w:tcPr>
          <w:p>
            <w:pPr>
              <w:spacing w:after="0" w:before="0"/>
            </w:pPr>
            <w:r>
              <w:rPr>
                <w:sz w:val="18"/>
              </w:rPr>
            </w:r>
            <w:r>
              <w:rPr>
                <w:b w:val="0"/>
                <w:sz w:val="18"/>
              </w:rPr>
              <w:t>Hunting, feasting, animal danger, food processing, coordinated movement, large gatherings.</w:t>
            </w:r>
          </w:p>
        </w:tc>
        <w:tc>
          <w:tcPr>
            <w:tcW w:type="dxa" w:w="3024"/>
            <w:vAlign w:val="top"/>
          </w:tcPr>
          <w:p>
            <w:pPr>
              <w:spacing w:after="0" w:before="0"/>
            </w:pPr>
            <w:r>
              <w:rPr>
                <w:sz w:val="18"/>
              </w:rPr>
            </w:r>
            <w:r>
              <w:rPr>
                <w:b w:val="0"/>
                <w:sz w:val="18"/>
              </w:rPr>
              <w:t>Supported by fauna, aurochs hunting lesion, gazelle seasonality questions, and grinding/pounding tools.</w:t>
            </w:r>
          </w:p>
        </w:tc>
        <w:tc>
          <w:tcPr>
            <w:tcW w:type="dxa" w:w="3024"/>
            <w:vAlign w:val="top"/>
          </w:tcPr>
          <w:p>
            <w:pPr>
              <w:spacing w:after="0" w:before="0"/>
            </w:pPr>
            <w:r>
              <w:rPr>
                <w:sz w:val="18"/>
              </w:rPr>
            </w:r>
            <w:r>
              <w:rPr>
                <w:b w:val="0"/>
                <w:sz w:val="18"/>
              </w:rPr>
              <w:t>Shows competence. Does not make an animal-trap model.</w:t>
            </w:r>
          </w:p>
        </w:tc>
      </w:tr>
      <w:tr>
        <w:trPr>
          <w:cantSplit/>
        </w:trPr>
        <w:tc>
          <w:tcPr>
            <w:tcW w:type="dxa" w:w="1656"/>
            <w:vAlign w:val="top"/>
          </w:tcPr>
          <w:p>
            <w:pPr>
              <w:spacing w:after="0" w:before="0"/>
            </w:pPr>
            <w:r>
              <w:rPr>
                <w:sz w:val="18"/>
              </w:rPr>
            </w:r>
            <w:r>
              <w:rPr>
                <w:b w:val="0"/>
                <w:sz w:val="18"/>
              </w:rPr>
              <w:t>Speculative mechanisms</w:t>
            </w:r>
          </w:p>
        </w:tc>
        <w:tc>
          <w:tcPr>
            <w:tcW w:type="dxa" w:w="3168"/>
            <w:vAlign w:val="top"/>
          </w:tcPr>
          <w:p>
            <w:pPr>
              <w:spacing w:after="0" w:before="0"/>
            </w:pPr>
            <w:r>
              <w:rPr>
                <w:sz w:val="18"/>
              </w:rPr>
            </w:r>
            <w:r>
              <w:rPr>
                <w:b w:val="0"/>
                <w:sz w:val="18"/>
              </w:rPr>
              <w:t>Pantry lure, delay-and-drop, reroute, roof or upper-surface failure, predator bait, mortuary crisis roles.</w:t>
            </w:r>
          </w:p>
        </w:tc>
        <w:tc>
          <w:tcPr>
            <w:tcW w:type="dxa" w:w="3024"/>
            <w:vAlign w:val="top"/>
          </w:tcPr>
          <w:p>
            <w:pPr>
              <w:spacing w:after="0" w:before="0"/>
            </w:pPr>
            <w:r>
              <w:rPr>
                <w:sz w:val="18"/>
              </w:rPr>
            </w:r>
            <w:r>
              <w:rPr>
                <w:b w:val="0"/>
                <w:sz w:val="18"/>
              </w:rPr>
              <w:t>Unproven. Requires route, timber, repair, scatter, trauma, residue, and context testing.</w:t>
            </w:r>
          </w:p>
        </w:tc>
        <w:tc>
          <w:tcPr>
            <w:tcW w:type="dxa" w:w="3024"/>
            <w:vAlign w:val="top"/>
          </w:tcPr>
          <w:p>
            <w:pPr>
              <w:spacing w:after="0" w:before="0"/>
            </w:pPr>
            <w:r>
              <w:rPr>
                <w:sz w:val="18"/>
              </w:rPr>
            </w:r>
            <w:r>
              <w:rPr>
                <w:b w:val="0"/>
                <w:sz w:val="18"/>
              </w:rPr>
              <w:t>Mechanism proposals only.</w:t>
            </w:r>
          </w:p>
        </w:tc>
      </w:tr>
      <w:tr>
        <w:tc>
          <w:tcPr>
            <w:tcW w:type="dxa" w:w="2556"/>
          </w:tcPr>
          <w:p>
            <w:r>
              <w:t>Secondary ecological layer</w:t>
            </w:r>
          </w:p>
        </w:tc>
        <w:tc>
          <w:tcPr>
            <w:tcW w:type="dxa" w:w="2556"/>
          </w:tcPr>
          <w:p>
            <w:r>
              <w:t>Bone-fragment attractors, scavenger trace loss, suid/canid/vulture interest, and large-carnivore competitor displacement.</w:t>
            </w:r>
          </w:p>
        </w:tc>
        <w:tc>
          <w:tcPr>
            <w:tcW w:type="dxa" w:w="2556"/>
          </w:tcPr>
          <w:p>
            <w:r>
              <w:t>Plausible as scarcity ecology, but not demonstrated as a primary function.</w:t>
            </w:r>
          </w:p>
        </w:tc>
        <w:tc>
          <w:tcPr>
            <w:tcW w:type="dxa" w:w="2556"/>
          </w:tcPr>
          <w:p>
            <w:r>
              <w:t>Kept as a small support layer for trace loss and landscape risk, not as a site identity.</w:t>
            </w:r>
          </w:p>
        </w:tc>
      </w:tr>
    </w:tbl>
    <w:p>
      <w:pPr>
        <w:pStyle w:val="Heading1"/>
        <w:spacing w:before="120" w:after="80"/>
      </w:pPr>
      <w:r>
        <w:t>Mogri method and terminology status</w:t>
      </w:r>
    </w:p>
    <w:p>
      <w:pPr>
        <w:spacing w:after="80" w:line="252" w:lineRule="auto"/>
      </w:pPr>
      <w: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80" w:line="252" w:lineRule="auto"/>
      </w:pPr>
      <w:r>
        <w:t>Mogri is used here as local analytic shorthand, not as a replacement for standard archaeological method. In conventional terms it points to underdetermination, formation processes, equifinality, missing perishable architecture, partial evidence, overinterpretation, and confidence ranking. The method guards against false demogrification: hunting evidence must not become an animal-trap conclusion; raider-risk must not become slave-catching; absence of stores must not erase perceived wealth; and ritual must not be treated as non-use.</w:t>
      </w:r>
    </w:p>
    <w:p>
      <w:pPr>
        <w:pStyle w:val="Heading1"/>
        <w:spacing w:before="120" w:after="80"/>
      </w:pPr>
      <w:r>
        <w:t>1. Baseline: site, dates, and main frame</w:t>
      </w:r>
    </w:p>
    <w:p>
      <w:pPr>
        <w:spacing w:after="80" w:line="252"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52" w:lineRule="auto"/>
      </w:pPr>
      <w:r>
        <w:t>The cereal-processing study gives measurable anchors: monumental round-oval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80" w:line="252" w:lineRule="auto"/>
      </w:pPr>
      <w:r>
        <w:t>Version 0.87 accepts the ceremonial and feast frame as central. It asks whether that same system also helped address a new danger: a visible, reputed, successful group at the farming hinge could be perceived as a food-and-power address by hungry neighbours.</w:t>
      </w:r>
    </w:p>
    <w:p>
      <w:pPr>
        <w:pStyle w:val="Heading1"/>
        <w:spacing w:before="120" w:after="80"/>
      </w:pPr>
      <w:r>
        <w:t>2. Hunting was not the broken system</w:t>
      </w:r>
    </w:p>
    <w:p>
      <w:pPr>
        <w:spacing w:after="80" w:line="252" w:lineRule="auto"/>
      </w:pPr>
      <w:r>
        <w:t>People already knew how to hunt. They knew animal routes, seasonal timing, danger, tools, group movement, carcass processing, and feast logistics. The aurochs humerus with an embedded flint point, together with faunal and seasonality work, supports real hunting competence. [3], [4], [7], [8]</w:t>
      </w:r>
    </w:p>
    <w:p>
      <w:pPr>
        <w:spacing w:after="80" w:line="252" w:lineRule="auto"/>
      </w:pPr>
      <w:r>
        <w:t>That competence matters, but it is not the thesis object. The site is not proposed as a fix for failed hunting. Hunting and feasting show that the builders could coordinate bodies, timing, food, risk, and attention. That competence could be reused in human threat settings, but the new problem was fixed and visible social value: food that could be imagined as stealable, sunk labour, and reputation tied to place.</w:t>
      </w:r>
    </w:p>
    <w:p>
      <w:pPr>
        <w:pStyle w:val="Heading1"/>
        <w:spacing w:before="120" w:after="80"/>
      </w:pPr>
      <w:r>
        <w:t>3. First perceived wealth, not required granary wealth</w:t>
      </w:r>
    </w:p>
    <w:p>
      <w:pPr>
        <w:spacing w:after="80" w:line="252" w:lineRule="auto"/>
      </w:pPr>
      <w:r>
        <w:t>The raider attractor does not require a verified granary. A desperate outside group does not need an inventory. It needs signs: repeated feasts, smoke, grinding, arriving visitors, full bellies, bones, tools, water, dogs, stone bodies, unusual authority, and regional stories. This is information ecology. Some signals are involuntary broadcasts of resource density: noise from processing, smoke from cooking, smells from animal bodies, visitor movement, and visible work. Others are intentional counter-signals: stone erection, carving, ritual authority, and the display of coalition capacity.</w:t>
      </w:r>
    </w:p>
    <w:p>
      <w:pPr>
        <w:spacing w:after="80" w:line="252" w:lineRule="auto"/>
      </w:pPr>
      <w:r>
        <w:t>This is a material correction to earlier wording. The target is not necessarily a hidden horde. It is the belief that a known address contains access to food, power, tools, bodies, allies, and survival advantage. Before balances, ledgers, or coin, monumentality itself can advertise organized negotiable value. A group that can raise stone persons, host feasts, process food, move animal bodies, and gather allies is broadcasting capacity. That broadcast can attract risk; the monument language can answer it by saying the group is not an easy food pile.</w:t>
      </w:r>
    </w:p>
    <w:p>
      <w:pPr/>
      <w:r>
        <w:t>The payoff need not be a grain room. It might be food during an event, tool stock, hides, dogs, vessels, access to water, exchange leverage, captives, or alliance under pressure. It might also be no payoff at all because the attempt fails. The model requires perceived opportunity and occasional attempts, not repeated successful theft.</w:t>
      </w:r>
    </w:p>
    <w:p>
      <w:pPr>
        <w:pStyle w:val="Heading1"/>
        <w:spacing w:before="120" w:after="80"/>
      </w:pPr>
      <w:r>
        <w:t>4. The energy hump and event-rate problem</w:t>
      </w:r>
    </w:p>
    <w:p>
      <w:pPr>
        <w:spacing w:after="80" w:line="252" w:lineRule="auto"/>
      </w:pPr>
      <w:r>
        <w:t>Early food production was not an instant energy victory. Before mature crops, stable storage, known processing routines, defended stores, and reliable labour cycles, food production could cost more than it returned. Groups may have needed hunting, gathering, wild cereal collection, nut harvest, water knowledge, exchange, and mobility as backup while also investing in fixed food work. This is the energy hump. [13], [14]</w:t>
      </w:r>
    </w:p>
    <w:p>
      <w:pPr>
        <w:spacing w:after="80" w:line="252" w:lineRule="auto"/>
      </w:pPr>
      <w:r>
        <w:t>The model does not require repeated full-scale attacks, and it does not require successful raids. Across a long use-life and a regional gathering catchment, many local stress events could generate raider pressure without producing archaeologically visible battles at the core site. A failed winter, missed gazelle pulse, disease event, drought pocket, or broken exchange relation could make a nearby group consider theft or attack. Most such events may have ended as negotiation, warning, avoidance, joining, or aborted approach. One early incident could teach the resident group to reduce losses next time; one later spectacular failure could make the warning travel.</w:t>
      </w:r>
    </w:p>
    <w:p>
      <w:pPr>
        <w:pStyle w:val="Heading1"/>
        <w:spacing w:before="120" w:after="80"/>
      </w:pPr>
      <w:r>
        <w:t>5. Ritual is not subterfuge</w:t>
      </w:r>
    </w:p>
    <w:p>
      <w:pPr>
        <w:spacing w:after="80" w:line="252" w:lineRule="auto"/>
      </w:pPr>
      <w:r>
        <w:t>The model does not reduce ritual to a trick. It treats ritual, food, death, architecture, animal imagery, stone persons, and deterrence as one operating field. A feast is food and diplomacy. A T-pillar is image, person, authority, and memory anchor. A gathering is ritual and also alliance, witness, warning, exchange, marriage, gossip, and threat reduction.</w:t>
      </w:r>
    </w:p>
    <w:p>
      <w:pPr>
        <w:spacing w:after="80" w:line="252" w:lineRule="auto"/>
      </w:pPr>
      <w:r>
        <w:t>The rank table is an analytic device for modern evidence-handling. It is not a claim that Pre-Pottery Neolithic people separated ritual, food, danger, memory, and deterrence into departments. In lived practice these roles were probably fused.</w:t>
      </w:r>
    </w:p>
    <w:p>
      <w:pPr>
        <w:pStyle w:val="Heading1"/>
        <w:spacing w:before="120" w:after="80"/>
      </w:pPr>
      <w:r>
        <w:t>6. Central enclosures as ritual core, not combat chamber</w:t>
      </w:r>
    </w:p>
    <w:p>
      <w:pPr>
        <w:spacing w:after="80" w:line="252" w:lineRule="auto"/>
      </w:pPr>
      <w:r>
        <w:t>The central enclosures are not proposed as the place where attackers are meant to be fought. Their inward-facing, semi-subterranean form strengthens the ritual-core reading. It does not need to become defensive architecture. The proposed tactical spaces, if they existed, would be approaches, thresholds, terraces, store-adjacent barriers, timber screens, temporary outer works, and route systems around the monumental core.</w:t>
      </w:r>
    </w:p>
    <w:p>
      <w:pPr>
        <w:spacing w:after="80" w:line="252" w:lineRule="auto"/>
      </w:pPr>
      <w:r>
        <w:t>This point prevents a bad geometry problem. Defenders inside a pit-like room would not be in the best tactical position against attackers above them. The warning-architecture claim instead concerns the whole site-world: approach, reputation, welcome, threshold, route, outer hazard, memory, and consequence.</w:t>
      </w:r>
    </w:p>
    <w:p>
      <w:pPr>
        <w:pStyle w:val="Heading1"/>
        <w:spacing w:before="120" w:after="80"/>
      </w:pPr>
      <w:r>
        <w:t>7. How warning architecture works</w:t>
      </w:r>
    </w:p>
    <w:p>
      <w:pPr>
        <w:spacing w:after="80" w:line="252" w:lineRule="auto"/>
      </w:pPr>
      <w:r>
        <w:t>The site may have given the resident group a survival advantage by shaping decisions before attack. Outsiders could arrive as guests, witnesses, rivals, affines, traders, supplicants, warned enemies, or raiders. The best outcome is conversion before violence. The next best outcome is failed attack that becomes shared warning memory. Attackers do not need to win for the system to matter. They need only try, fail, and be remembered.</w:t>
      </w:r>
    </w:p>
    <w:p>
      <w:pPr>
        <w:spacing w:after="80" w:line="252" w:lineRule="auto"/>
      </w:pPr>
      <w:r>
        <w:t>The goal is not to keep raiders. The goal is to stop raids from becoming siege, and to make the cost of attack travel farther than the attackers. A resident group learns from a dangerous attempt. The wider region learns from the story of failure. The stone falls once; the story falls many times.</w:t>
      </w:r>
    </w:p>
    <w:p>
      <w:pPr/>
      <w:r>
        <w:t>Starvation can weaken taboo and awe. The model does not require an absolute mental block. It requires a brief high-stress hesitation: a pause at a charged boundary, a glance upward, an argument between raiders, uncertainty about dogs, watchers, stones, allies, or consequence. In close asymmetric defence, a short delay can be enough for an alarm, a high-ground response, or a local deterrent to activate.</w:t>
      </w:r>
    </w:p>
    <w:p>
      <w:pPr>
        <w:pStyle w:val="Heading1"/>
        <w:spacing w:before="120" w:after="80"/>
      </w:pPr>
      <w:r>
        <w:t>8. Data spine: evidence matrix</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800"/>
            <w:shd w:fill="D9EAF7"/>
          </w:tcPr>
          <w:p>
            <w:pPr>
              <w:spacing w:after="0" w:before="0"/>
            </w:pPr>
            <w:r>
              <w:rPr>
                <w:b/>
                <w:sz w:val="18"/>
              </w:rPr>
            </w:r>
            <w:r>
              <w:rPr>
                <w:b/>
                <w:sz w:val="18"/>
              </w:rPr>
              <w:t>Strand</w:t>
            </w:r>
          </w:p>
        </w:tc>
        <w:tc>
          <w:tcPr>
            <w:tcW w:type="dxa" w:w="3240"/>
            <w:shd w:fill="D9EAF7"/>
          </w:tcPr>
          <w:p>
            <w:pPr>
              <w:spacing w:after="0" w:before="0"/>
            </w:pPr>
            <w:r>
              <w:rPr>
                <w:b/>
                <w:sz w:val="18"/>
              </w:rPr>
            </w:r>
            <w:r>
              <w:rPr>
                <w:b/>
                <w:sz w:val="18"/>
              </w:rPr>
              <w:t>Anchor</w:t>
            </w:r>
          </w:p>
        </w:tc>
        <w:tc>
          <w:tcPr>
            <w:tcW w:type="dxa" w:w="2880"/>
            <w:shd w:fill="D9EAF7"/>
          </w:tcPr>
          <w:p>
            <w:pPr>
              <w:spacing w:after="0" w:before="0"/>
            </w:pPr>
            <w:r>
              <w:rPr>
                <w:b/>
                <w:sz w:val="18"/>
              </w:rPr>
            </w:r>
            <w:r>
              <w:rPr>
                <w:b/>
                <w:sz w:val="18"/>
              </w:rPr>
              <w:t>Supports</w:t>
            </w:r>
          </w:p>
        </w:tc>
        <w:tc>
          <w:tcPr>
            <w:tcW w:type="dxa" w:w="2880"/>
            <w:shd w:fill="D9EAF7"/>
          </w:tcPr>
          <w:p>
            <w:pPr>
              <w:spacing w:after="0" w:before="0"/>
            </w:pPr>
            <w:r>
              <w:rPr>
                <w:b/>
                <w:sz w:val="18"/>
              </w:rPr>
            </w:r>
            <w:r>
              <w:rPr>
                <w:b/>
                <w:sz w:val="18"/>
              </w:rPr>
              <w:t>Limit</w:t>
            </w:r>
          </w:p>
        </w:tc>
      </w:tr>
      <w:tr>
        <w:trPr>
          <w:cantSplit/>
        </w:trPr>
        <w:tc>
          <w:tcPr>
            <w:tcW w:type="dxa" w:w="1800"/>
            <w:vAlign w:val="top"/>
          </w:tcPr>
          <w:p>
            <w:pPr>
              <w:spacing w:after="0" w:before="0"/>
            </w:pPr>
            <w:r>
              <w:rPr>
                <w:sz w:val="18"/>
              </w:rPr>
            </w:r>
            <w:r>
              <w:rPr>
                <w:b w:val="0"/>
                <w:sz w:val="18"/>
              </w:rPr>
              <w:t>Architecture</w:t>
            </w:r>
          </w:p>
        </w:tc>
        <w:tc>
          <w:tcPr>
            <w:tcW w:type="dxa" w:w="3240"/>
            <w:vAlign w:val="top"/>
          </w:tcPr>
          <w:p>
            <w:pPr>
              <w:spacing w:after="0" w:before="0"/>
            </w:pPr>
            <w:r>
              <w:rPr>
                <w:sz w:val="18"/>
              </w:rPr>
            </w:r>
            <w:r>
              <w:rPr>
                <w:b w:val="0"/>
                <w:sz w:val="18"/>
              </w:rPr>
              <w:t>Round-oval buildings c. 10-20 m inner diameter; central pillars up to 5.5 m; benches and wall-set pillars. [1], [2]</w:t>
            </w:r>
          </w:p>
        </w:tc>
        <w:tc>
          <w:tcPr>
            <w:tcW w:type="dxa" w:w="2880"/>
            <w:vAlign w:val="top"/>
          </w:tcPr>
          <w:p>
            <w:pPr>
              <w:spacing w:after="0" w:before="0"/>
            </w:pPr>
            <w:r>
              <w:rPr>
                <w:sz w:val="18"/>
              </w:rPr>
            </w:r>
            <w:r>
              <w:rPr>
                <w:b w:val="0"/>
                <w:sz w:val="18"/>
              </w:rPr>
              <w:t>Gathering, visibility, route shaping, possible timber-assisted staging.</w:t>
            </w:r>
          </w:p>
        </w:tc>
        <w:tc>
          <w:tcPr>
            <w:tcW w:type="dxa" w:w="2880"/>
            <w:vAlign w:val="top"/>
          </w:tcPr>
          <w:p>
            <w:pPr>
              <w:spacing w:after="0" w:before="0"/>
            </w:pPr>
            <w:r>
              <w:rPr>
                <w:sz w:val="18"/>
              </w:rPr>
            </w:r>
            <w:r>
              <w:rPr>
                <w:b w:val="0"/>
                <w:sz w:val="18"/>
              </w:rPr>
              <w:t>Does not prove tactical use.</w:t>
            </w:r>
          </w:p>
        </w:tc>
      </w:tr>
      <w:tr>
        <w:trPr>
          <w:cantSplit/>
        </w:trPr>
        <w:tc>
          <w:tcPr>
            <w:tcW w:type="dxa" w:w="1800"/>
            <w:vAlign w:val="top"/>
          </w:tcPr>
          <w:p>
            <w:pPr>
              <w:spacing w:after="0" w:before="0"/>
            </w:pPr>
            <w:r>
              <w:rPr>
                <w:sz w:val="18"/>
              </w:rPr>
            </w:r>
            <w:r>
              <w:rPr>
                <w:b w:val="0"/>
                <w:sz w:val="18"/>
              </w:rPr>
              <w:t>Food tools</w:t>
            </w:r>
          </w:p>
        </w:tc>
        <w:tc>
          <w:tcPr>
            <w:tcW w:type="dxa" w:w="3240"/>
            <w:vAlign w:val="top"/>
          </w:tcPr>
          <w:p>
            <w:pPr>
              <w:spacing w:after="0" w:before="0"/>
            </w:pPr>
            <w:r>
              <w:rPr>
                <w:sz w:val="18"/>
              </w:rPr>
            </w:r>
            <w:r>
              <w:rPr>
                <w:b w:val="0"/>
                <w:sz w:val="18"/>
              </w:rPr>
              <w:t>More than 7000 grinding and pounding artifacts, mostly cereal-related. [2]</w:t>
            </w:r>
          </w:p>
        </w:tc>
        <w:tc>
          <w:tcPr>
            <w:tcW w:type="dxa" w:w="2880"/>
            <w:vAlign w:val="top"/>
          </w:tcPr>
          <w:p>
            <w:pPr>
              <w:spacing w:after="0" w:before="0"/>
            </w:pPr>
            <w:r>
              <w:rPr>
                <w:sz w:val="18"/>
              </w:rPr>
            </w:r>
            <w:r>
              <w:rPr>
                <w:b w:val="0"/>
                <w:sz w:val="18"/>
              </w:rPr>
              <w:t>Feasting, labour concentration, early perceived food pressure.</w:t>
            </w:r>
          </w:p>
        </w:tc>
        <w:tc>
          <w:tcPr>
            <w:tcW w:type="dxa" w:w="2880"/>
            <w:vAlign w:val="top"/>
          </w:tcPr>
          <w:p>
            <w:pPr>
              <w:spacing w:after="0" w:before="0"/>
            </w:pPr>
            <w:r>
              <w:rPr>
                <w:sz w:val="18"/>
              </w:rPr>
            </w:r>
            <w:r>
              <w:rPr>
                <w:b w:val="0"/>
                <w:sz w:val="18"/>
              </w:rPr>
              <w:t>Large stores not identified in that study.</w:t>
            </w:r>
          </w:p>
        </w:tc>
      </w:tr>
      <w:tr>
        <w:trPr>
          <w:cantSplit/>
        </w:trPr>
        <w:tc>
          <w:tcPr>
            <w:tcW w:type="dxa" w:w="1800"/>
            <w:vAlign w:val="top"/>
          </w:tcPr>
          <w:p>
            <w:pPr>
              <w:spacing w:after="0" w:before="0"/>
            </w:pPr>
            <w:r>
              <w:rPr>
                <w:sz w:val="18"/>
              </w:rPr>
            </w:r>
            <w:r>
              <w:rPr>
                <w:b w:val="0"/>
                <w:sz w:val="18"/>
              </w:rPr>
              <w:t>Fauna and hunting</w:t>
            </w:r>
          </w:p>
        </w:tc>
        <w:tc>
          <w:tcPr>
            <w:tcW w:type="dxa" w:w="3240"/>
            <w:vAlign w:val="top"/>
          </w:tcPr>
          <w:p>
            <w:pPr>
              <w:spacing w:after="0" w:before="0"/>
            </w:pPr>
            <w:r>
              <w:rPr>
                <w:sz w:val="18"/>
              </w:rPr>
            </w:r>
            <w:r>
              <w:rPr>
                <w:b w:val="0"/>
                <w:sz w:val="18"/>
              </w:rPr>
              <w:t>Gazelle, aurochs, wild ass, boar, wild sheep/mouflon, fox; aurochs hunting lesion. [3], [4], [7], [8]</w:t>
            </w:r>
          </w:p>
        </w:tc>
        <w:tc>
          <w:tcPr>
            <w:tcW w:type="dxa" w:w="2880"/>
            <w:vAlign w:val="top"/>
          </w:tcPr>
          <w:p>
            <w:pPr>
              <w:spacing w:after="0" w:before="0"/>
            </w:pPr>
            <w:r>
              <w:rPr>
                <w:sz w:val="18"/>
              </w:rPr>
            </w:r>
            <w:r>
              <w:rPr>
                <w:b w:val="0"/>
                <w:sz w:val="18"/>
              </w:rPr>
              <w:t>Hunt and feast competence; dangerous body handling.</w:t>
            </w:r>
          </w:p>
        </w:tc>
        <w:tc>
          <w:tcPr>
            <w:tcW w:type="dxa" w:w="2880"/>
            <w:vAlign w:val="top"/>
          </w:tcPr>
          <w:p>
            <w:pPr>
              <w:spacing w:after="0" w:before="0"/>
            </w:pPr>
            <w:r>
              <w:rPr>
                <w:sz w:val="18"/>
              </w:rPr>
            </w:r>
            <w:r>
              <w:rPr>
                <w:b w:val="0"/>
                <w:sz w:val="18"/>
              </w:rPr>
              <w:t>Hunt evidence, not raid evidence.</w:t>
            </w:r>
          </w:p>
        </w:tc>
      </w:tr>
      <w:tr>
        <w:trPr>
          <w:cantSplit/>
        </w:trPr>
        <w:tc>
          <w:tcPr>
            <w:tcW w:type="dxa" w:w="1800"/>
            <w:vAlign w:val="top"/>
          </w:tcPr>
          <w:p>
            <w:pPr>
              <w:spacing w:after="0" w:before="0"/>
            </w:pPr>
            <w:r>
              <w:rPr>
                <w:sz w:val="18"/>
              </w:rPr>
            </w:r>
            <w:r>
              <w:rPr>
                <w:b w:val="0"/>
                <w:sz w:val="18"/>
              </w:rPr>
              <w:t>Human remains</w:t>
            </w:r>
          </w:p>
        </w:tc>
        <w:tc>
          <w:tcPr>
            <w:tcW w:type="dxa" w:w="3240"/>
            <w:vAlign w:val="top"/>
          </w:tcPr>
          <w:p>
            <w:pPr>
              <w:spacing w:after="0" w:before="0"/>
            </w:pPr>
            <w:r>
              <w:rPr>
                <w:sz w:val="18"/>
              </w:rPr>
            </w:r>
            <w:r>
              <w:rPr>
                <w:b w:val="0"/>
                <w:sz w:val="18"/>
              </w:rPr>
              <w:t>Modified skull fragments and scattered human bone in fill contexts. [5], [6]</w:t>
            </w:r>
          </w:p>
        </w:tc>
        <w:tc>
          <w:tcPr>
            <w:tcW w:type="dxa" w:w="2880"/>
            <w:vAlign w:val="top"/>
          </w:tcPr>
          <w:p>
            <w:pPr>
              <w:spacing w:after="0" w:before="0"/>
            </w:pPr>
            <w:r>
              <w:rPr>
                <w:sz w:val="18"/>
              </w:rPr>
            </w:r>
            <w:r>
              <w:rPr>
                <w:b w:val="0"/>
                <w:sz w:val="18"/>
              </w:rPr>
              <w:t>Death practice, memory, trace loss, mortuary ambiguity.</w:t>
            </w:r>
          </w:p>
        </w:tc>
        <w:tc>
          <w:tcPr>
            <w:tcW w:type="dxa" w:w="2880"/>
            <w:vAlign w:val="top"/>
          </w:tcPr>
          <w:p>
            <w:pPr>
              <w:spacing w:after="0" w:before="0"/>
            </w:pPr>
            <w:r>
              <w:rPr>
                <w:sz w:val="18"/>
              </w:rPr>
            </w:r>
            <w:r>
              <w:rPr>
                <w:b w:val="0"/>
                <w:sz w:val="18"/>
              </w:rPr>
              <w:t>Does not prove raid, siege, or conspecific consumption.</w:t>
            </w:r>
          </w:p>
        </w:tc>
      </w:tr>
      <w:tr>
        <w:trPr>
          <w:cantSplit/>
        </w:trPr>
        <w:tc>
          <w:tcPr>
            <w:tcW w:type="dxa" w:w="1800"/>
            <w:vAlign w:val="top"/>
          </w:tcPr>
          <w:p>
            <w:pPr>
              <w:spacing w:after="0" w:before="0"/>
            </w:pPr>
            <w:r>
              <w:rPr>
                <w:sz w:val="18"/>
              </w:rPr>
            </w:r>
            <w:r>
              <w:rPr>
                <w:b w:val="0"/>
                <w:sz w:val="18"/>
              </w:rPr>
              <w:t>Conflict background</w:t>
            </w:r>
          </w:p>
        </w:tc>
        <w:tc>
          <w:tcPr>
            <w:tcW w:type="dxa" w:w="3240"/>
            <w:vAlign w:val="top"/>
          </w:tcPr>
          <w:p>
            <w:pPr>
              <w:spacing w:after="0" w:before="0"/>
            </w:pPr>
            <w:r>
              <w:rPr>
                <w:sz w:val="18"/>
              </w:rPr>
            </w:r>
            <w:r>
              <w:rPr>
                <w:b w:val="0"/>
                <w:sz w:val="18"/>
              </w:rPr>
              <w:t>Kortik Tepe discussion notes interpersonal violence and conflict mitigation, with limited intergroup proxies. [9]</w:t>
            </w:r>
          </w:p>
        </w:tc>
        <w:tc>
          <w:tcPr>
            <w:tcW w:type="dxa" w:w="2880"/>
            <w:vAlign w:val="top"/>
          </w:tcPr>
          <w:p>
            <w:pPr>
              <w:spacing w:after="0" w:before="0"/>
            </w:pPr>
            <w:r>
              <w:rPr>
                <w:sz w:val="18"/>
              </w:rPr>
            </w:r>
            <w:r>
              <w:rPr>
                <w:b w:val="0"/>
                <w:sz w:val="18"/>
              </w:rPr>
              <w:t>Regional social heat and need for mitigation.</w:t>
            </w:r>
          </w:p>
        </w:tc>
        <w:tc>
          <w:tcPr>
            <w:tcW w:type="dxa" w:w="2880"/>
            <w:vAlign w:val="top"/>
          </w:tcPr>
          <w:p>
            <w:pPr>
              <w:spacing w:after="0" w:before="0"/>
            </w:pPr>
            <w:r>
              <w:rPr>
                <w:sz w:val="18"/>
              </w:rPr>
            </w:r>
            <w:r>
              <w:rPr>
                <w:b w:val="0"/>
                <w:sz w:val="18"/>
              </w:rPr>
              <w:t>Indirect comparison only.</w:t>
            </w:r>
          </w:p>
        </w:tc>
      </w:tr>
      <w:tr>
        <w:trPr>
          <w:cantSplit/>
        </w:trPr>
        <w:tc>
          <w:tcPr>
            <w:tcW w:type="dxa" w:w="1800"/>
            <w:vAlign w:val="top"/>
          </w:tcPr>
          <w:p>
            <w:pPr>
              <w:spacing w:after="0" w:before="0"/>
            </w:pPr>
            <w:r>
              <w:rPr>
                <w:sz w:val="18"/>
              </w:rPr>
            </w:r>
            <w:r>
              <w:rPr>
                <w:b w:val="0"/>
                <w:sz w:val="18"/>
              </w:rPr>
              <w:t>Stratigraphy and fill</w:t>
            </w:r>
          </w:p>
        </w:tc>
        <w:tc>
          <w:tcPr>
            <w:tcW w:type="dxa" w:w="3240"/>
            <w:vAlign w:val="top"/>
          </w:tcPr>
          <w:p>
            <w:pPr>
              <w:spacing w:after="0" w:before="0"/>
            </w:pPr>
            <w:r>
              <w:rPr>
                <w:sz w:val="18"/>
              </w:rPr>
            </w:r>
            <w:r>
              <w:rPr>
                <w:b w:val="0"/>
                <w:sz w:val="18"/>
              </w:rPr>
              <w:t>Built-on-rock work stresses complex mound formation, slope processes, repairs, and revision of older fill assumptions. [10]</w:t>
            </w:r>
          </w:p>
        </w:tc>
        <w:tc>
          <w:tcPr>
            <w:tcW w:type="dxa" w:w="2880"/>
            <w:vAlign w:val="top"/>
          </w:tcPr>
          <w:p>
            <w:pPr>
              <w:spacing w:after="0" w:before="0"/>
            </w:pPr>
            <w:r>
              <w:rPr>
                <w:sz w:val="18"/>
              </w:rPr>
            </w:r>
            <w:r>
              <w:rPr>
                <w:b w:val="0"/>
                <w:sz w:val="18"/>
              </w:rPr>
              <w:t>Need for sequence, route, and repair testing.</w:t>
            </w:r>
          </w:p>
        </w:tc>
        <w:tc>
          <w:tcPr>
            <w:tcW w:type="dxa" w:w="2880"/>
            <w:vAlign w:val="top"/>
          </w:tcPr>
          <w:p>
            <w:pPr>
              <w:spacing w:after="0" w:before="0"/>
            </w:pPr>
            <w:r>
              <w:rPr>
                <w:sz w:val="18"/>
              </w:rPr>
            </w:r>
            <w:r>
              <w:rPr>
                <w:b w:val="0"/>
                <w:sz w:val="18"/>
              </w:rPr>
              <w:t>Moved material can mimic tactical traces.</w:t>
            </w:r>
          </w:p>
        </w:tc>
      </w:tr>
    </w:tbl>
    <w:p>
      <w:pPr>
        <w:pStyle w:val="Heading1"/>
        <w:spacing w:before="120" w:after="80"/>
      </w:pPr>
      <w:r>
        <w:t>9. Layout, route, and queue metrics restored from v0.7</w:t>
      </w:r>
    </w:p>
    <w:p>
      <w:pPr>
        <w:spacing w:after="80" w:line="252" w:lineRule="auto"/>
      </w:pPr>
      <w:r>
        <w:t>The raider-risk model stays small-scale. It does not need herds or armies in the enclosures. It needs a front cluster of hungry people delayed, bunched, exposed, frightened, injured, blocked, or rerouted. These figures are scale checks, not field measurements of actual entrances.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2592"/>
            <w:shd w:fill="D9EAF7"/>
          </w:tcPr>
          <w:p>
            <w:pPr>
              <w:spacing w:after="0" w:before="0"/>
            </w:pPr>
            <w:r>
              <w:rPr>
                <w:b/>
                <w:sz w:val="18"/>
              </w:rPr>
            </w:r>
            <w:r>
              <w:rPr>
                <w:b/>
                <w:sz w:val="18"/>
              </w:rPr>
              <w:t>Feature model</w:t>
            </w:r>
          </w:p>
        </w:tc>
        <w:tc>
          <w:tcPr>
            <w:tcW w:type="dxa" w:w="4176"/>
            <w:shd w:fill="D9EAF7"/>
          </w:tcPr>
          <w:p>
            <w:pPr>
              <w:spacing w:after="0" w:before="0"/>
            </w:pPr>
            <w:r>
              <w:rPr>
                <w:b/>
                <w:sz w:val="18"/>
              </w:rPr>
            </w:r>
            <w:r>
              <w:rPr>
                <w:b/>
                <w:sz w:val="18"/>
              </w:rPr>
              <w:t>Example scale</w:t>
            </w:r>
          </w:p>
        </w:tc>
        <w:tc>
          <w:tcPr>
            <w:tcW w:type="dxa" w:w="3744"/>
            <w:shd w:fill="D9EAF7"/>
          </w:tcPr>
          <w:p>
            <w:pPr>
              <w:spacing w:after="0" w:before="0"/>
            </w:pPr>
            <w:r>
              <w:rPr>
                <w:b/>
                <w:sz w:val="18"/>
              </w:rPr>
            </w:r>
            <w:r>
              <w:rPr>
                <w:b/>
                <w:sz w:val="18"/>
              </w:rPr>
              <w:t>Interpretive use</w:t>
            </w:r>
          </w:p>
        </w:tc>
      </w:tr>
      <w:tr>
        <w:trPr>
          <w:cantSplit/>
        </w:trPr>
        <w:tc>
          <w:tcPr>
            <w:tcW w:type="dxa" w:w="2592"/>
            <w:vAlign w:val="top"/>
          </w:tcPr>
          <w:p>
            <w:pPr>
              <w:spacing w:after="0" w:before="0"/>
            </w:pPr>
            <w:r>
              <w:rPr>
                <w:sz w:val="18"/>
              </w:rPr>
            </w:r>
            <w:r>
              <w:rPr>
                <w:b w:val="0"/>
                <w:sz w:val="18"/>
              </w:rPr>
              <w:t>Circular enclosure area</w:t>
            </w:r>
          </w:p>
        </w:tc>
        <w:tc>
          <w:tcPr>
            <w:tcW w:type="dxa" w:w="4176"/>
            <w:vAlign w:val="top"/>
          </w:tcPr>
          <w:p>
            <w:pPr>
              <w:spacing w:after="0" w:before="0"/>
            </w:pPr>
            <w:r>
              <w:rPr>
                <w:sz w:val="18"/>
              </w:rPr>
            </w:r>
            <w:r>
              <w:rPr>
                <w:b w:val="0"/>
                <w:sz w:val="18"/>
              </w:rPr>
              <w:t>10 m diameter: c. 78.5 m2; 15 m: c. 176.7 m2; 20 m: c. 314.2 m2.</w:t>
            </w:r>
          </w:p>
        </w:tc>
        <w:tc>
          <w:tcPr>
            <w:tcW w:type="dxa" w:w="3744"/>
            <w:vAlign w:val="top"/>
          </w:tcPr>
          <w:p>
            <w:pPr>
              <w:spacing w:after="0" w:before="0"/>
            </w:pPr>
            <w:r>
              <w:rPr>
                <w:sz w:val="18"/>
              </w:rPr>
            </w:r>
            <w:r>
              <w:rPr>
                <w:b w:val="0"/>
                <w:sz w:val="18"/>
              </w:rPr>
              <w:t>Gathering scale, not animal-trap proof.</w:t>
            </w:r>
          </w:p>
        </w:tc>
      </w:tr>
      <w:tr>
        <w:trPr>
          <w:cantSplit/>
        </w:trPr>
        <w:tc>
          <w:tcPr>
            <w:tcW w:type="dxa" w:w="2592"/>
            <w:vAlign w:val="top"/>
          </w:tcPr>
          <w:p>
            <w:pPr>
              <w:spacing w:after="0" w:before="0"/>
            </w:pPr>
            <w:r>
              <w:rPr>
                <w:sz w:val="18"/>
              </w:rPr>
            </w:r>
            <w:r>
              <w:rPr>
                <w:b w:val="0"/>
                <w:sz w:val="18"/>
              </w:rPr>
              <w:t>Workable gathering capacity</w:t>
            </w:r>
          </w:p>
        </w:tc>
        <w:tc>
          <w:tcPr>
            <w:tcW w:type="dxa" w:w="4176"/>
            <w:vAlign w:val="top"/>
          </w:tcPr>
          <w:p>
            <w:pPr>
              <w:spacing w:after="0" w:before="0"/>
            </w:pPr>
            <w:r>
              <w:rPr>
                <w:sz w:val="18"/>
              </w:rPr>
            </w:r>
            <w:r>
              <w:rPr>
                <w:b w:val="0"/>
                <w:sz w:val="18"/>
              </w:rPr>
              <w:t>At 1.5 m2 per person: c. 52, 118, or 209 people for 10, 15, or 20 m diameter.</w:t>
            </w:r>
          </w:p>
        </w:tc>
        <w:tc>
          <w:tcPr>
            <w:tcW w:type="dxa" w:w="3744"/>
            <w:vAlign w:val="top"/>
          </w:tcPr>
          <w:p>
            <w:pPr>
              <w:spacing w:after="0" w:before="0"/>
            </w:pPr>
            <w:r>
              <w:rPr>
                <w:sz w:val="18"/>
              </w:rPr>
            </w:r>
            <w:r>
              <w:rPr>
                <w:b w:val="0"/>
                <w:sz w:val="18"/>
              </w:rPr>
              <w:t>Event and witness capacity, depending on layout.</w:t>
            </w:r>
          </w:p>
        </w:tc>
      </w:tr>
      <w:tr>
        <w:trPr>
          <w:cantSplit/>
        </w:trPr>
        <w:tc>
          <w:tcPr>
            <w:tcW w:type="dxa" w:w="2592"/>
            <w:vAlign w:val="top"/>
          </w:tcPr>
          <w:p>
            <w:pPr>
              <w:spacing w:after="0" w:before="0"/>
            </w:pPr>
            <w:r>
              <w:rPr>
                <w:sz w:val="18"/>
              </w:rPr>
            </w:r>
            <w:r>
              <w:rPr>
                <w:b w:val="0"/>
                <w:sz w:val="18"/>
              </w:rPr>
              <w:t>Narrow approach queue</w:t>
            </w:r>
          </w:p>
        </w:tc>
        <w:tc>
          <w:tcPr>
            <w:tcW w:type="dxa" w:w="4176"/>
            <w:vAlign w:val="top"/>
          </w:tcPr>
          <w:p>
            <w:pPr>
              <w:spacing w:after="0" w:before="0"/>
            </w:pPr>
            <w:r>
              <w:rPr>
                <w:sz w:val="18"/>
              </w:rPr>
            </w:r>
            <w:r>
              <w:rPr>
                <w:b w:val="0"/>
                <w:sz w:val="18"/>
              </w:rPr>
              <w:t>5 m x 1.2 m can hold roughly 6-10 bunched people.</w:t>
            </w:r>
          </w:p>
        </w:tc>
        <w:tc>
          <w:tcPr>
            <w:tcW w:type="dxa" w:w="3744"/>
            <w:vAlign w:val="top"/>
          </w:tcPr>
          <w:p>
            <w:pPr>
              <w:spacing w:after="0" w:before="0"/>
            </w:pPr>
            <w:r>
              <w:rPr>
                <w:sz w:val="18"/>
              </w:rPr>
            </w:r>
            <w:r>
              <w:rPr>
                <w:b w:val="0"/>
                <w:sz w:val="18"/>
              </w:rPr>
              <w:t>Tests delay-and-drop logic at a threshold.</w:t>
            </w:r>
          </w:p>
        </w:tc>
      </w:tr>
      <w:tr>
        <w:trPr>
          <w:cantSplit/>
        </w:trPr>
        <w:tc>
          <w:tcPr>
            <w:tcW w:type="dxa" w:w="2592"/>
            <w:vAlign w:val="top"/>
          </w:tcPr>
          <w:p>
            <w:pPr>
              <w:spacing w:after="0" w:before="0"/>
            </w:pPr>
            <w:r>
              <w:rPr>
                <w:sz w:val="18"/>
              </w:rPr>
            </w:r>
            <w:r>
              <w:rPr>
                <w:b w:val="0"/>
                <w:sz w:val="18"/>
              </w:rPr>
              <w:t>Drop or blockage strip</w:t>
            </w:r>
          </w:p>
        </w:tc>
        <w:tc>
          <w:tcPr>
            <w:tcW w:type="dxa" w:w="4176"/>
            <w:vAlign w:val="top"/>
          </w:tcPr>
          <w:p>
            <w:pPr>
              <w:spacing w:after="0" w:before="0"/>
            </w:pPr>
            <w:r>
              <w:rPr>
                <w:sz w:val="18"/>
              </w:rPr>
            </w:r>
            <w:r>
              <w:rPr>
                <w:b w:val="0"/>
                <w:sz w:val="18"/>
              </w:rPr>
              <w:t>4 m x 1 m can affect a front cluster.</w:t>
            </w:r>
          </w:p>
        </w:tc>
        <w:tc>
          <w:tcPr>
            <w:tcW w:type="dxa" w:w="3744"/>
            <w:vAlign w:val="top"/>
          </w:tcPr>
          <w:p>
            <w:pPr>
              <w:spacing w:after="0" w:before="0"/>
            </w:pPr>
            <w:r>
              <w:rPr>
                <w:sz w:val="18"/>
              </w:rPr>
            </w:r>
            <w:r>
              <w:rPr>
                <w:b w:val="0"/>
                <w:sz w:val="18"/>
              </w:rPr>
              <w:t>Small raiding-party scale, not mass battle scale.</w:t>
            </w:r>
          </w:p>
        </w:tc>
      </w:tr>
      <w:tr>
        <w:trPr>
          <w:cantSplit/>
        </w:trPr>
        <w:tc>
          <w:tcPr>
            <w:tcW w:type="dxa" w:w="2592"/>
            <w:vAlign w:val="top"/>
          </w:tcPr>
          <w:p>
            <w:pPr>
              <w:spacing w:after="0" w:before="0"/>
            </w:pPr>
            <w:r>
              <w:rPr>
                <w:sz w:val="18"/>
              </w:rPr>
            </w:r>
            <w:r>
              <w:rPr>
                <w:b w:val="0"/>
                <w:sz w:val="18"/>
              </w:rPr>
              <w:t>Pantry-like barrier</w:t>
            </w:r>
          </w:p>
        </w:tc>
        <w:tc>
          <w:tcPr>
            <w:tcW w:type="dxa" w:w="4176"/>
            <w:vAlign w:val="top"/>
          </w:tcPr>
          <w:p>
            <w:pPr>
              <w:spacing w:before="0" w:after="0"/>
            </w:pPr>
            <w:r>
              <w:rPr>
                <w:sz w:val="18"/>
              </w:rPr>
              <w:t>Hypothetical robust but porous barrier: visible or scent-linked reward with slow access.</w:t>
            </w:r>
          </w:p>
        </w:tc>
        <w:tc>
          <w:tcPr>
            <w:tcW w:type="dxa" w:w="3744"/>
            <w:vAlign w:val="top"/>
          </w:tcPr>
          <w:p>
            <w:pPr>
              <w:spacing w:before="0" w:after="0"/>
            </w:pPr>
            <w:r>
              <w:rPr>
                <w:sz w:val="18"/>
              </w:rPr>
              <w:t>Affordance test only. Could create delay, attention lock, and bunching if placed in a route that cannot simply be bypassed.</w:t>
            </w:r>
          </w:p>
        </w:tc>
      </w:tr>
    </w:tbl>
    <w:p>
      <w:pPr>
        <w:pStyle w:val="Heading1"/>
        <w:spacing w:before="120" w:after="80"/>
      </w:pPr>
      <w:r>
        <w:t>10. Store, pit, bone, and perceived-value scale checks</w:t>
      </w:r>
    </w:p>
    <w:p>
      <w:pPr>
        <w:spacing w:after="80" w:line="252" w:lineRule="auto"/>
      </w:pPr>
      <w:r>
        <w:t>The scale checks below are retained as affordance tests and maximums, not as claims that these specific storage, trap, water, or pantry features are demonstrated at Gobekli Tepe. They ask what relatively small volumes could mean if confirmed in the right context. They also help bound the perceived-value problem: even small concentrations of food, tools, bone, water, hides, or vessels can look life-saving to an outgroup under seasonal stress.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944"/>
            <w:shd w:fill="D9EAF7"/>
          </w:tcPr>
          <w:p>
            <w:pPr>
              <w:spacing w:after="0" w:before="0"/>
            </w:pPr>
            <w:r>
              <w:rPr>
                <w:b/>
                <w:sz w:val="18"/>
              </w:rPr>
            </w:r>
            <w:r>
              <w:rPr>
                <w:b/>
                <w:sz w:val="18"/>
              </w:rPr>
              <w:t>Quantity</w:t>
            </w:r>
          </w:p>
        </w:tc>
        <w:tc>
          <w:tcPr>
            <w:tcW w:type="dxa" w:w="3240"/>
            <w:shd w:fill="D9EAF7"/>
          </w:tcPr>
          <w:p>
            <w:pPr>
              <w:spacing w:after="0" w:before="0"/>
            </w:pPr>
            <w:r>
              <w:rPr>
                <w:b/>
                <w:sz w:val="18"/>
              </w:rPr>
            </w:r>
            <w:r>
              <w:rPr>
                <w:b/>
                <w:sz w:val="18"/>
              </w:rPr>
              <w:t>Scale check</w:t>
            </w:r>
          </w:p>
        </w:tc>
        <w:tc>
          <w:tcPr>
            <w:tcW w:type="dxa" w:w="3096"/>
            <w:shd w:fill="D9EAF7"/>
          </w:tcPr>
          <w:p>
            <w:pPr>
              <w:spacing w:after="0" w:before="0"/>
            </w:pPr>
            <w:r>
              <w:rPr>
                <w:b/>
                <w:sz w:val="18"/>
              </w:rPr>
            </w:r>
            <w:r>
              <w:rPr>
                <w:b/>
                <w:sz w:val="18"/>
              </w:rPr>
              <w:t>Interpretive value</w:t>
            </w:r>
          </w:p>
        </w:tc>
        <w:tc>
          <w:tcPr>
            <w:tcW w:type="dxa" w:w="2520"/>
            <w:shd w:fill="D9EAF7"/>
          </w:tcPr>
          <w:p>
            <w:pPr>
              <w:spacing w:after="0" w:before="0"/>
            </w:pPr>
            <w:r>
              <w:rPr>
                <w:b/>
                <w:sz w:val="18"/>
              </w:rPr>
            </w:r>
            <w:r>
              <w:rPr>
                <w:b/>
                <w:sz w:val="18"/>
              </w:rPr>
              <w:t>Data needed</w:t>
            </w:r>
          </w:p>
        </w:tc>
      </w:tr>
      <w:tr>
        <w:trPr>
          <w:cantSplit/>
        </w:trPr>
        <w:tc>
          <w:tcPr>
            <w:tcW w:type="dxa" w:w="1944"/>
            <w:vAlign w:val="top"/>
          </w:tcPr>
          <w:p>
            <w:pPr>
              <w:spacing w:after="0" w:before="0"/>
            </w:pPr>
            <w:r>
              <w:rPr>
                <w:sz w:val="18"/>
              </w:rPr>
            </w:r>
            <w:r>
              <w:rPr>
                <w:b w:val="0"/>
                <w:sz w:val="18"/>
              </w:rPr>
              <w:t>Dry cereal potential</w:t>
            </w:r>
          </w:p>
        </w:tc>
        <w:tc>
          <w:tcPr>
            <w:tcW w:type="dxa" w:w="3240"/>
            <w:vAlign w:val="top"/>
          </w:tcPr>
          <w:p>
            <w:pPr>
              <w:spacing w:after="0" w:before="0"/>
            </w:pPr>
            <w:r>
              <w:rPr>
                <w:sz w:val="18"/>
              </w:rPr>
            </w:r>
            <w:r>
              <w:rPr>
                <w:b w:val="0"/>
                <w:sz w:val="18"/>
              </w:rPr>
              <w:t>Modern cereal density of c. 700-800 kg/m3 and c. 3400 kcal/kg means 1 m3 can represent around 2.4-2.7 million kcal.</w:t>
            </w:r>
          </w:p>
        </w:tc>
        <w:tc>
          <w:tcPr>
            <w:tcW w:type="dxa" w:w="3096"/>
            <w:vAlign w:val="top"/>
          </w:tcPr>
          <w:p>
            <w:pPr>
              <w:spacing w:before="0" w:after="0"/>
            </w:pPr>
            <w:r>
              <w:rPr>
                <w:sz w:val="18"/>
              </w:rPr>
              <w:t>Affordance maximum: shows why modest food volumes could matter if confirmed. Does not prove storage or raid target.</w:t>
            </w:r>
          </w:p>
        </w:tc>
        <w:tc>
          <w:tcPr>
            <w:tcW w:type="dxa" w:w="2520"/>
            <w:vAlign w:val="top"/>
          </w:tcPr>
          <w:p>
            <w:pPr>
              <w:spacing w:after="0" w:before="0"/>
            </w:pPr>
            <w:r>
              <w:rPr>
                <w:sz w:val="18"/>
              </w:rPr>
            </w:r>
            <w:r>
              <w:rPr>
                <w:b w:val="0"/>
                <w:sz w:val="18"/>
              </w:rPr>
              <w:t>Actual storage features, residues, phytoliths, vessel or pit volumes.</w:t>
            </w:r>
          </w:p>
        </w:tc>
      </w:tr>
      <w:tr>
        <w:trPr>
          <w:cantSplit/>
        </w:trPr>
        <w:tc>
          <w:tcPr>
            <w:tcW w:type="dxa" w:w="1944"/>
            <w:vAlign w:val="top"/>
          </w:tcPr>
          <w:p>
            <w:pPr>
              <w:spacing w:after="0" w:before="0"/>
            </w:pPr>
            <w:r>
              <w:rPr>
                <w:sz w:val="18"/>
              </w:rPr>
            </w:r>
            <w:r>
              <w:rPr>
                <w:b w:val="0"/>
                <w:sz w:val="18"/>
              </w:rPr>
              <w:t>Small pit volume</w:t>
            </w:r>
          </w:p>
        </w:tc>
        <w:tc>
          <w:tcPr>
            <w:tcW w:type="dxa" w:w="3240"/>
            <w:vAlign w:val="top"/>
          </w:tcPr>
          <w:p>
            <w:pPr>
              <w:spacing w:after="0" w:before="0"/>
            </w:pPr>
            <w:r>
              <w:rPr>
                <w:sz w:val="18"/>
              </w:rPr>
            </w:r>
            <w:r>
              <w:rPr>
                <w:b w:val="0"/>
                <w:sz w:val="18"/>
              </w:rPr>
              <w:t>Cylinder, diameter 2 m, depth 1 m: c. 3.1 m3.</w:t>
            </w:r>
          </w:p>
        </w:tc>
        <w:tc>
          <w:tcPr>
            <w:tcW w:type="dxa" w:w="3096"/>
            <w:vAlign w:val="top"/>
          </w:tcPr>
          <w:p>
            <w:pPr>
              <w:spacing w:before="0" w:after="0"/>
            </w:pPr>
            <w:r>
              <w:rPr>
                <w:sz w:val="18"/>
              </w:rPr>
              <w:t>Affordance maximum only. Could matter for storage, fill, water, or later reuse if field context supports it.</w:t>
            </w:r>
          </w:p>
        </w:tc>
        <w:tc>
          <w:tcPr>
            <w:tcW w:type="dxa" w:w="2520"/>
            <w:vAlign w:val="top"/>
          </w:tcPr>
          <w:p>
            <w:pPr>
              <w:spacing w:after="0" w:before="0"/>
            </w:pPr>
            <w:r>
              <w:rPr>
                <w:sz w:val="18"/>
              </w:rPr>
            </w:r>
            <w:r>
              <w:rPr>
                <w:b w:val="0"/>
                <w:sz w:val="18"/>
              </w:rPr>
              <w:t>Mapped dimensions, deposits, access, sealing, sediment history.</w:t>
            </w:r>
          </w:p>
        </w:tc>
      </w:tr>
      <w:tr>
        <w:trPr>
          <w:cantSplit/>
        </w:trPr>
        <w:tc>
          <w:tcPr>
            <w:tcW w:type="dxa" w:w="1944"/>
            <w:vAlign w:val="top"/>
          </w:tcPr>
          <w:p>
            <w:pPr>
              <w:spacing w:after="0" w:before="0"/>
            </w:pPr>
            <w:r>
              <w:rPr>
                <w:sz w:val="18"/>
              </w:rPr>
            </w:r>
            <w:r>
              <w:rPr>
                <w:b w:val="0"/>
                <w:sz w:val="18"/>
              </w:rPr>
              <w:t>Medium pit volume</w:t>
            </w:r>
          </w:p>
        </w:tc>
        <w:tc>
          <w:tcPr>
            <w:tcW w:type="dxa" w:w="3240"/>
            <w:vAlign w:val="top"/>
          </w:tcPr>
          <w:p>
            <w:pPr>
              <w:spacing w:after="0" w:before="0"/>
            </w:pPr>
            <w:r>
              <w:rPr>
                <w:sz w:val="18"/>
              </w:rPr>
            </w:r>
            <w:r>
              <w:rPr>
                <w:b w:val="0"/>
                <w:sz w:val="18"/>
              </w:rPr>
              <w:t>Diameter 4 m, depth 1.5 m: c. 18.8 m3.</w:t>
            </w:r>
          </w:p>
        </w:tc>
        <w:tc>
          <w:tcPr>
            <w:tcW w:type="dxa" w:w="3096"/>
            <w:vAlign w:val="top"/>
          </w:tcPr>
          <w:p>
            <w:pPr>
              <w:spacing w:before="0" w:after="0"/>
            </w:pPr>
            <w:r>
              <w:rPr>
                <w:sz w:val="18"/>
              </w:rPr>
              <w:t>Affordance maximum only. Large enough to require interpretation if present, but not evidence of a defensive earthwork.</w:t>
            </w:r>
          </w:p>
        </w:tc>
        <w:tc>
          <w:tcPr>
            <w:tcW w:type="dxa" w:w="2520"/>
            <w:vAlign w:val="top"/>
          </w:tcPr>
          <w:p>
            <w:pPr>
              <w:spacing w:after="0" w:before="0"/>
            </w:pPr>
            <w:r>
              <w:rPr>
                <w:sz w:val="18"/>
              </w:rPr>
            </w:r>
            <w:r>
              <w:rPr>
                <w:b w:val="0"/>
                <w:sz w:val="18"/>
              </w:rPr>
              <w:t>Field dimensions, deposits, approach, fill sequence.</w:t>
            </w:r>
          </w:p>
        </w:tc>
      </w:tr>
      <w:tr>
        <w:trPr>
          <w:cantSplit/>
        </w:trPr>
        <w:tc>
          <w:tcPr>
            <w:tcW w:type="dxa" w:w="1944"/>
            <w:vAlign w:val="top"/>
          </w:tcPr>
          <w:p>
            <w:pPr>
              <w:spacing w:after="0" w:before="0"/>
            </w:pPr>
            <w:r>
              <w:rPr>
                <w:sz w:val="18"/>
              </w:rPr>
            </w:r>
            <w:r>
              <w:rPr>
                <w:b w:val="0"/>
                <w:sz w:val="18"/>
              </w:rPr>
              <w:t>Large animal handling</w:t>
            </w:r>
          </w:p>
        </w:tc>
        <w:tc>
          <w:tcPr>
            <w:tcW w:type="dxa" w:w="3240"/>
            <w:vAlign w:val="top"/>
          </w:tcPr>
          <w:p>
            <w:pPr>
              <w:spacing w:after="0" w:before="0"/>
            </w:pPr>
            <w:r>
              <w:rPr>
                <w:sz w:val="18"/>
              </w:rPr>
            </w:r>
            <w:r>
              <w:rPr>
                <w:b w:val="0"/>
                <w:sz w:val="18"/>
              </w:rPr>
              <w:t>One aurochs or several gazelle can supply feast-scale meat and bone.</w:t>
            </w:r>
          </w:p>
        </w:tc>
        <w:tc>
          <w:tcPr>
            <w:tcW w:type="dxa" w:w="3096"/>
            <w:vAlign w:val="top"/>
          </w:tcPr>
          <w:p>
            <w:pPr>
              <w:spacing w:after="0" w:before="0"/>
            </w:pPr>
            <w:r>
              <w:rPr>
                <w:sz w:val="18"/>
              </w:rPr>
            </w:r>
            <w:r>
              <w:rPr>
                <w:b w:val="0"/>
                <w:sz w:val="18"/>
              </w:rPr>
              <w:t>Supports hunt/feast competence before raider-risk.</w:t>
            </w:r>
          </w:p>
        </w:tc>
        <w:tc>
          <w:tcPr>
            <w:tcW w:type="dxa" w:w="2520"/>
            <w:vAlign w:val="top"/>
          </w:tcPr>
          <w:p>
            <w:pPr>
              <w:spacing w:after="0" w:before="0"/>
            </w:pPr>
            <w:r>
              <w:rPr>
                <w:sz w:val="18"/>
              </w:rPr>
            </w:r>
            <w:r>
              <w:rPr>
                <w:b w:val="0"/>
                <w:sz w:val="18"/>
              </w:rPr>
              <w:t>Taxon-by-context tallies, seasonality, age profiles, cut marks.</w:t>
            </w:r>
          </w:p>
        </w:tc>
      </w:tr>
      <w:tr>
        <w:trPr>
          <w:cantSplit/>
        </w:trPr>
        <w:tc>
          <w:tcPr>
            <w:tcW w:type="dxa" w:w="1944"/>
            <w:vAlign w:val="top"/>
          </w:tcPr>
          <w:p>
            <w:pPr>
              <w:spacing w:after="0" w:before="0"/>
            </w:pPr>
            <w:r>
              <w:rPr>
                <w:sz w:val="18"/>
              </w:rPr>
            </w:r>
            <w:r>
              <w:rPr>
                <w:b w:val="0"/>
                <w:sz w:val="18"/>
              </w:rPr>
              <w:t>Bone mineral store</w:t>
            </w:r>
          </w:p>
        </w:tc>
        <w:tc>
          <w:tcPr>
            <w:tcW w:type="dxa" w:w="3240"/>
            <w:vAlign w:val="top"/>
          </w:tcPr>
          <w:p>
            <w:pPr>
              <w:spacing w:after="0" w:before="0"/>
            </w:pPr>
            <w:r>
              <w:rPr>
                <w:sz w:val="18"/>
              </w:rPr>
            </w:r>
            <w:r>
              <w:rPr>
                <w:b w:val="0"/>
                <w:sz w:val="18"/>
              </w:rPr>
              <w:t>Bone meal tables list calcium-rich material in processed forms. [17]</w:t>
            </w:r>
          </w:p>
        </w:tc>
        <w:tc>
          <w:tcPr>
            <w:tcW w:type="dxa" w:w="3096"/>
            <w:vAlign w:val="top"/>
          </w:tcPr>
          <w:p>
            <w:pPr>
              <w:spacing w:after="0" w:before="0"/>
            </w:pPr>
            <w:r>
              <w:rPr>
                <w:sz w:val="18"/>
              </w:rPr>
            </w:r>
            <w:r>
              <w:rPr>
                <w:b w:val="0"/>
                <w:sz w:val="18"/>
              </w:rPr>
              <w:t>Bone is resident delayed value, not primary raider bait.</w:t>
            </w:r>
          </w:p>
        </w:tc>
        <w:tc>
          <w:tcPr>
            <w:tcW w:type="dxa" w:w="2520"/>
            <w:vAlign w:val="top"/>
          </w:tcPr>
          <w:p>
            <w:pPr>
              <w:spacing w:after="0" w:before="0"/>
            </w:pPr>
            <w:r>
              <w:rPr>
                <w:sz w:val="18"/>
              </w:rPr>
            </w:r>
            <w:r>
              <w:rPr>
                <w:b w:val="0"/>
                <w:sz w:val="18"/>
              </w:rPr>
              <w:t>Breakage, burning, crushing, boiling, grinding, cache, animal-gnaw patterns.</w:t>
            </w:r>
          </w:p>
        </w:tc>
      </w:tr>
      <w:tr>
        <w:trPr>
          <w:cantSplit/>
        </w:trPr>
        <w:tc>
          <w:tcPr>
            <w:tcW w:type="dxa" w:w="2556"/>
          </w:tcPr>
          <w:p>
            <w:pPr>
              <w:spacing w:before="0" w:after="0"/>
            </w:pPr>
            <w:r>
              <w:rPr>
                <w:sz w:val="18"/>
              </w:rPr>
              <w:t>Monumentality signal</w:t>
            </w:r>
          </w:p>
        </w:tc>
        <w:tc>
          <w:tcPr>
            <w:tcW w:type="dxa" w:w="2556"/>
          </w:tcPr>
          <w:p>
            <w:pPr>
              <w:spacing w:before="0" w:after="0"/>
            </w:pPr>
            <w:r>
              <w:rPr>
                <w:sz w:val="18"/>
              </w:rPr>
              <w:t>Large stones, skilled carving, repeated feasts, visitors, tools, smoke, and sound.</w:t>
            </w:r>
          </w:p>
        </w:tc>
        <w:tc>
          <w:tcPr>
            <w:tcW w:type="dxa" w:w="2556"/>
          </w:tcPr>
          <w:p>
            <w:pPr>
              <w:spacing w:before="0" w:after="0"/>
            </w:pPr>
            <w:r>
              <w:rPr>
                <w:sz w:val="18"/>
              </w:rPr>
              <w:t>Pre-accounting wealth signal: organized capacity, coalition reach, and negotiable value.</w:t>
            </w:r>
          </w:p>
        </w:tc>
        <w:tc>
          <w:tcPr>
            <w:tcW w:type="dxa" w:w="2556"/>
          </w:tcPr>
          <w:p>
            <w:pPr>
              <w:spacing w:before="0" w:after="0"/>
            </w:pPr>
            <w:r>
              <w:rPr>
                <w:sz w:val="18"/>
              </w:rPr>
              <w:t>Labour estimates, route data, visitor signatures, tool stock contexts, and regional comparison.</w:t>
            </w:r>
          </w:p>
        </w:tc>
      </w:tr>
    </w:tbl>
    <w:p>
      <w:pPr>
        <w:pStyle w:val="Heading1"/>
        <w:spacing w:before="120" w:after="80"/>
      </w:pPr>
      <w:r>
        <w:t>11. Faunal and lithic mapping work plan</w:t>
      </w:r>
    </w:p>
    <w:p>
      <w:pPr>
        <w:spacing w:after="80" w:line="252" w:lineRule="auto"/>
      </w:pPr>
      <w:r>
        <w:t>The next useful move is overlay work. Map animal bones by taxon, element, age, season, cut marks, burning, marrow breakage, gnawing, and fill context. Separate hunting debris, butchery debris, feast waste, closure deposits, slope-wash material, and possible repair rubble. Map lithics by type, including projectile fragments, impact fractures, blades, scrapers, heavy tools, ground stone, and debitage, but also map the ordinary baseline produced by grinding, trampling, tool repair, and routine discard.</w:t>
      </w:r>
    </w:p>
    <w:p>
      <w:pPr>
        <w:spacing w:after="80" w:line="252" w:lineRule="auto"/>
      </w:pPr>
      <w:r>
        <w:t>The hunt layer predicts animal-body handling, seasonal peaks, projectile evidence, and feast waste. The raider-risk layer predicts approach-zone anomalies, repair, line-break geometry, incoming or embedded point fragments, unusual rubble placement, and micro-stress patterns. These predictions only gain force if the patterns differ from ordinary occupation, tool refresh, processing, trampling, and fill movement.</w:t>
      </w:r>
    </w:p>
    <w:p>
      <w:pPr>
        <w:pStyle w:val="Heading1"/>
        <w:spacing w:before="120" w:after="80"/>
      </w:pPr>
      <w:r>
        <w:t>12. Projectiles: incoming, salvaged, and low-rank</w:t>
      </w:r>
    </w:p>
    <w:p>
      <w:pPr>
        <w:spacing w:after="80" w:line="252" w:lineRule="auto"/>
      </w:pPr>
      <w:r>
        <w:t>The model does not predict many outgoing defender projectiles. In the proposed delay-and-drop scenario, defenders wait until attackers are delayed, bunched, and attention-locked, then use height, stone, timber, clubs, axes, dogs, and reroute pressure. Projectile evidence, if any, is more likely to come from attackers firing or carrying stone points into the site. Metal arrowheads are not expected for this main period; flint, chert, and perhaps obsidian are the relevant materials.</w:t>
      </w:r>
    </w:p>
    <w:p>
      <w:pPr>
        <w:spacing w:after="80" w:line="252" w:lineRule="auto"/>
      </w:pPr>
      <w:r>
        <w:t>Salvage remains relevant, but v0.87 does not rely on tidy recovery of every visible point. The better target is unsalvageable micro-trace: impact-shattered tips, tiny spalls, micro-debitage ground into threshold fill, micro-damage on stone edges, localized soil chemistry, and fragments too small or embedded to recover after the event. The test should favour impact-diagnostic signatures over generic anomalies.</w:t>
      </w:r>
    </w:p>
    <w:p>
      <w:pPr/>
      <w:r>
        <w:t>Equifinality is a serious problem. Grinding stones, pounding tools, trampling, tool repair, domestic discard, slope movement, and later fill can all produce small fragments and battered surfaces. Micro-traces only matter if they form a spatial, material, and stratigraphic pattern that differs from that ordinary activity background. The strongest target would be impact-induced fracture wings, micro-striations, embedded tip fragments, stone-edge spalling, or SEM-level wear patterns consistent with high-energy contact rather than routine knapping or tool refresh.</w:t>
      </w:r>
    </w:p>
    <w:p>
      <w:pPr>
        <w:pStyle w:val="Heading1"/>
        <w:spacing w:before="120" w:after="80"/>
      </w:pPr>
      <w:r>
        <w:t>13. Bone, calcium, delayed resident value, and scavenger ecology</w:t>
      </w:r>
    </w:p>
    <w:p>
      <w:pPr>
        <w:spacing w:after="80" w:line="252" w:lineRule="auto"/>
      </w:pPr>
      <w:r>
        <w:t>First perceived wealth is not only grain. Stored or remembered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[15], [16], [17]</w:t>
      </w:r>
    </w:p>
    <w:p>
      <w:pPr>
        <w:spacing w:after="80" w:line="252" w:lineRule="auto"/>
      </w:pPr>
      <w:r>
        <w:t>This does not prove a calcium crisis at Gobekli Tepe, and bone is not proposed as a primary raid target. Bone belongs in the resident group’s delayed-value ecology. A group with grain but poor mineral intake, growing children, nursing mothers, and hard physical work may value bone long after meat and marrow have been removed.</w:t>
      </w:r>
    </w:p>
    <w:p>
      <w:pPr/>
      <w:r>
        <w:t>Bone fragments and food waste may also work as secondary attractors. In a scarcity ecology, unused bone is not inert rubbish. It can retain marrow traces, mineral value, scent, and animal interest. Discarded or placed fragments could draw suids, canids, vultures, or other scavengers into known observation zones. This remains an opportunistic affordance and trace-loss pathway, not a primary explanation for Gobekli Tepe.</w:t>
      </w:r>
    </w:p>
    <w:p>
      <w:pPr/>
      <w:r>
        <w:t>For wild boar and smaller scavengers, bone or carrion scent may create direct food opportunities or help explain why fragments vanish, move, or acquire animal damage. For bears or other large dangerous carnivores, the value is different. A bear struck with a projectile may travel far, remain dangerous, and be difficult or impossible to recover safely. The likely benefit is competitor displacement from the immediate food zone, not dependable meat. In this role, bone fragments help reveal, distract, or displace animals that compete for nuts, honey, carrion, bone, stores, or other food signals.</w:t>
      </w:r>
    </w:p>
    <w:p>
      <w:pPr>
        <w:pStyle w:val="Heading1"/>
        <w:spacing w:before="120" w:after="80"/>
      </w:pPr>
      <w:r>
        <w:t>14. Regional network and warning reach</w:t>
      </w:r>
    </w:p>
    <w:p>
      <w:pPr>
        <w:spacing w:after="80" w:line="252" w:lineRule="auto"/>
      </w:pPr>
      <w:r>
        <w:t>Gobekli Tepe should not be treated as a lone stage. The wider Tas Tepeler landscape, related T-pillar traditions, shared motifs, visitor movement, and regional catchment matter. A single group known as the largest and best-fed nearby group could attract attention, but a regional network changes the risk calculation. Attacking one node may mean offending a wider web of kin, allies, ritual partners, and shared stone-language users.</w:t>
      </w:r>
    </w:p>
    <w:p>
      <w:pPr>
        <w:spacing w:after="80" w:line="252" w:lineRule="auto"/>
      </w:pPr>
      <w:r>
        <w:t>This network point strengthens perceived wealth without requiring a storehouse. A site can advertise coalition health, ritual authority, food competence, and negotiable value. Other T-pillar sites need not share the original GT problem. Once the monumental language existed, smaller or differently arranged sites could adopt it as coalition signalling, prestige echo, regional identity claim, or participation signal: we can raise stone persons too; we belong to this value world.</w:t>
      </w:r>
    </w:p>
    <w:p>
      <w:pPr>
        <w:pStyle w:val="Heading1"/>
        <w:spacing w:before="120" w:after="80"/>
      </w:pPr>
      <w:r>
        <w:t>15. Spatial anomaly test plan</w:t>
      </w:r>
    </w:p>
    <w:p>
      <w:pPr/>
      <w:r>
        <w:t>These tests must treat equifinality as the main pest. No single broken point, battered threshold, or residue patch would demogrify conflict. The target is a patterned anomaly: access-zone micro-fragments, impact-diagnostic stone-edge damage, soil markers, repair, route compression, and stratigraphy aligning in ways that ordinary grinding, trampling, tool refresh, feasting, and fill movement do not explain well.</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1872"/>
            <w:shd w:fill="D9EAF7"/>
          </w:tcPr>
          <w:p>
            <w:pPr>
              <w:spacing w:after="0" w:before="0"/>
            </w:pPr>
            <w:r>
              <w:rPr>
                <w:b/>
                <w:sz w:val="18"/>
              </w:rPr>
            </w:r>
            <w:r>
              <w:rPr>
                <w:b/>
                <w:sz w:val="18"/>
              </w:rPr>
              <w:t>Test target</w:t>
            </w:r>
          </w:p>
        </w:tc>
        <w:tc>
          <w:tcPr>
            <w:tcW w:type="dxa" w:w="4464"/>
            <w:shd w:fill="D9EAF7"/>
          </w:tcPr>
          <w:p>
            <w:pPr>
              <w:spacing w:after="0" w:before="0"/>
            </w:pPr>
            <w:r>
              <w:rPr>
                <w:b/>
                <w:sz w:val="18"/>
              </w:rPr>
            </w:r>
            <w:r>
              <w:rPr>
                <w:b/>
                <w:sz w:val="18"/>
              </w:rPr>
              <w:t>What to look for</w:t>
            </w:r>
          </w:p>
        </w:tc>
        <w:tc>
          <w:tcPr>
            <w:tcW w:type="dxa" w:w="4320"/>
            <w:shd w:fill="D9EAF7"/>
          </w:tcPr>
          <w:p>
            <w:pPr>
              <w:spacing w:after="0" w:before="0"/>
            </w:pPr>
            <w:r>
              <w:rPr>
                <w:b/>
                <w:sz w:val="18"/>
              </w:rPr>
            </w:r>
            <w:r>
              <w:rPr>
                <w:b/>
                <w:sz w:val="18"/>
              </w:rPr>
              <w:t>What it would demogrify</w:t>
            </w:r>
          </w:p>
        </w:tc>
      </w:tr>
      <w:tr>
        <w:trPr>
          <w:cantSplit/>
        </w:trPr>
        <w:tc>
          <w:tcPr>
            <w:tcW w:type="dxa" w:w="1872"/>
            <w:vAlign w:val="top"/>
          </w:tcPr>
          <w:p>
            <w:pPr>
              <w:spacing w:after="0" w:before="0"/>
            </w:pPr>
            <w:r>
              <w:rPr>
                <w:sz w:val="18"/>
              </w:rPr>
            </w:r>
            <w:r>
              <w:rPr>
                <w:b w:val="0"/>
                <w:sz w:val="18"/>
              </w:rPr>
              <w:t>Routes</w:t>
            </w:r>
          </w:p>
        </w:tc>
        <w:tc>
          <w:tcPr>
            <w:tcW w:type="dxa" w:w="4464"/>
            <w:vAlign w:val="top"/>
          </w:tcPr>
          <w:p>
            <w:pPr>
              <w:spacing w:after="0" w:before="0"/>
            </w:pPr>
            <w:r>
              <w:rPr>
                <w:sz w:val="18"/>
              </w:rPr>
            </w:r>
            <w:r>
              <w:rPr>
                <w:b w:val="0"/>
                <w:sz w:val="18"/>
              </w:rPr>
              <w:t>Plan overlays of approaches, thresholds, benches, terraces, possible platforms, and reroutes.</w:t>
            </w:r>
          </w:p>
        </w:tc>
        <w:tc>
          <w:tcPr>
            <w:tcW w:type="dxa" w:w="4320"/>
            <w:vAlign w:val="top"/>
          </w:tcPr>
          <w:p>
            <w:pPr>
              <w:spacing w:after="0" w:before="0"/>
            </w:pPr>
            <w:r>
              <w:rPr>
                <w:sz w:val="18"/>
              </w:rPr>
            </w:r>
            <w:r>
              <w:rPr>
                <w:b w:val="0"/>
                <w:sz w:val="18"/>
              </w:rPr>
              <w:t>Whether people could be delayed, bunched, observed, or redirected.</w:t>
            </w:r>
          </w:p>
        </w:tc>
      </w:tr>
      <w:tr>
        <w:trPr>
          <w:cantSplit/>
        </w:trPr>
        <w:tc>
          <w:tcPr>
            <w:tcW w:type="dxa" w:w="1872"/>
            <w:vAlign w:val="top"/>
          </w:tcPr>
          <w:p>
            <w:pPr>
              <w:spacing w:after="0" w:before="0"/>
            </w:pPr>
            <w:r>
              <w:rPr>
                <w:sz w:val="18"/>
              </w:rPr>
            </w:r>
            <w:r>
              <w:rPr>
                <w:b w:val="0"/>
                <w:sz w:val="18"/>
              </w:rPr>
              <w:t>Timber</w:t>
            </w:r>
          </w:p>
        </w:tc>
        <w:tc>
          <w:tcPr>
            <w:tcW w:type="dxa" w:w="4464"/>
            <w:vAlign w:val="top"/>
          </w:tcPr>
          <w:p>
            <w:pPr>
              <w:spacing w:after="0" w:before="0"/>
            </w:pPr>
            <w:r>
              <w:rPr>
                <w:sz w:val="18"/>
              </w:rPr>
            </w:r>
            <w:r>
              <w:rPr>
                <w:b w:val="0"/>
                <w:sz w:val="18"/>
              </w:rPr>
              <w:t>Postholes, sockets, impressions, roof or screen evidence, attachment marks.</w:t>
            </w:r>
          </w:p>
        </w:tc>
        <w:tc>
          <w:tcPr>
            <w:tcW w:type="dxa" w:w="4320"/>
            <w:vAlign w:val="top"/>
          </w:tcPr>
          <w:p>
            <w:pPr>
              <w:spacing w:after="0" w:before="0"/>
            </w:pPr>
            <w:r>
              <w:rPr>
                <w:sz w:val="18"/>
              </w:rPr>
            </w:r>
            <w:r>
              <w:rPr>
                <w:b w:val="0"/>
                <w:sz w:val="18"/>
              </w:rPr>
              <w:t>Whether lost architecture changed access, sightlines, or upper surfaces.</w:t>
            </w:r>
          </w:p>
        </w:tc>
      </w:tr>
      <w:tr>
        <w:trPr>
          <w:cantSplit/>
        </w:trPr>
        <w:tc>
          <w:tcPr>
            <w:tcW w:type="dxa" w:w="1872"/>
            <w:vAlign w:val="top"/>
          </w:tcPr>
          <w:p>
            <w:pPr>
              <w:spacing w:after="0" w:before="0"/>
            </w:pPr>
            <w:r>
              <w:rPr>
                <w:sz w:val="18"/>
              </w:rPr>
            </w:r>
            <w:r>
              <w:rPr>
                <w:b w:val="0"/>
                <w:sz w:val="18"/>
              </w:rPr>
              <w:t>Lithics</w:t>
            </w:r>
          </w:p>
        </w:tc>
        <w:tc>
          <w:tcPr>
            <w:tcW w:type="dxa" w:w="4464"/>
            <w:vAlign w:val="top"/>
          </w:tcPr>
          <w:p>
            <w:r>
              <w:t>Incoming or embedded point fragments, impact fractures, shattered tips, fracture wings, micro-striations, and micro-debitage distinct from tool refresh debris.</w:t>
            </w:r>
          </w:p>
        </w:tc>
        <w:tc>
          <w:tcPr>
            <w:tcW w:type="dxa" w:w="4320"/>
            <w:vAlign w:val="top"/>
          </w:tcPr>
          <w:p>
            <w:r>
              <w:t>Whether access zones carry impact-diagnostic micro-stress beyond knapping, grinding, trampling, tool repair, and discard.</w:t>
            </w:r>
          </w:p>
        </w:tc>
      </w:tr>
      <w:tr>
        <w:trPr>
          <w:cantSplit/>
        </w:trPr>
        <w:tc>
          <w:tcPr>
            <w:tcW w:type="dxa" w:w="1872"/>
            <w:vAlign w:val="top"/>
          </w:tcPr>
          <w:p>
            <w:pPr>
              <w:spacing w:after="0" w:before="0"/>
            </w:pPr>
            <w:r>
              <w:rPr>
                <w:sz w:val="18"/>
              </w:rPr>
            </w:r>
            <w:r>
              <w:rPr>
                <w:b w:val="0"/>
                <w:sz w:val="18"/>
              </w:rPr>
              <w:t>Soils</w:t>
            </w:r>
          </w:p>
        </w:tc>
        <w:tc>
          <w:tcPr>
            <w:tcW w:type="dxa" w:w="4464"/>
            <w:vAlign w:val="top"/>
          </w:tcPr>
          <w:p>
            <w:r>
              <w:t>Localized protein, lipid, phosphate, burning, compaction, trampling, and microstratigraphic patterning tied to route stress rather than ordinary activity.</w:t>
            </w:r>
          </w:p>
        </w:tc>
        <w:tc>
          <w:tcPr>
            <w:tcW w:type="dxa" w:w="4320"/>
            <w:vAlign w:val="top"/>
          </w:tcPr>
          <w:p>
            <w:r>
              <w:t>Whether threshold zones carried non-domestic duress that post-event tidying could not fully remove.</w:t>
            </w:r>
          </w:p>
        </w:tc>
      </w:tr>
      <w:tr>
        <w:trPr>
          <w:cantSplit/>
        </w:trPr>
        <w:tc>
          <w:tcPr>
            <w:tcW w:type="dxa" w:w="1872"/>
            <w:vAlign w:val="top"/>
          </w:tcPr>
          <w:p>
            <w:pPr>
              <w:spacing w:after="0" w:before="0"/>
            </w:pPr>
            <w:r>
              <w:rPr>
                <w:sz w:val="18"/>
              </w:rPr>
            </w:r>
            <w:r>
              <w:rPr>
                <w:b w:val="0"/>
                <w:sz w:val="18"/>
              </w:rPr>
              <w:t>Repair</w:t>
            </w:r>
          </w:p>
        </w:tc>
        <w:tc>
          <w:tcPr>
            <w:tcW w:type="dxa" w:w="4464"/>
            <w:vAlign w:val="top"/>
          </w:tcPr>
          <w:p>
            <w:pPr>
              <w:spacing w:after="0" w:before="0"/>
            </w:pPr>
            <w:r>
              <w:rPr>
                <w:sz w:val="18"/>
              </w:rPr>
            </w:r>
            <w:r>
              <w:rPr>
                <w:b w:val="0"/>
                <w:sz w:val="18"/>
              </w:rPr>
              <w:t>Blocked openings, rebuilt thresholds, patched wall areas, repeated stress zones.</w:t>
            </w:r>
          </w:p>
        </w:tc>
        <w:tc>
          <w:tcPr>
            <w:tcW w:type="dxa" w:w="4320"/>
            <w:vAlign w:val="top"/>
          </w:tcPr>
          <w:p>
            <w:pPr>
              <w:spacing w:after="0" w:before="0"/>
            </w:pPr>
            <w:r>
              <w:rPr>
                <w:sz w:val="18"/>
              </w:rPr>
            </w:r>
            <w:r>
              <w:rPr>
                <w:b w:val="0"/>
                <w:sz w:val="18"/>
              </w:rPr>
              <w:t>Whether movement routes carried unusual pressure.</w:t>
            </w:r>
          </w:p>
        </w:tc>
      </w:tr>
      <w:tr>
        <w:trPr>
          <w:cantSplit/>
        </w:trPr>
        <w:tc>
          <w:tcPr>
            <w:tcW w:type="dxa" w:w="1872"/>
            <w:vAlign w:val="top"/>
          </w:tcPr>
          <w:p>
            <w:pPr>
              <w:spacing w:after="0" w:before="0"/>
            </w:pPr>
            <w:r>
              <w:rPr>
                <w:sz w:val="18"/>
              </w:rPr>
            </w:r>
            <w:r>
              <w:rPr>
                <w:b w:val="0"/>
                <w:sz w:val="18"/>
              </w:rPr>
              <w:t>Human remains</w:t>
            </w:r>
          </w:p>
        </w:tc>
        <w:tc>
          <w:tcPr>
            <w:tcW w:type="dxa" w:w="4464"/>
            <w:vAlign w:val="top"/>
          </w:tcPr>
          <w:p>
            <w:pPr>
              <w:spacing w:after="0" w:before="0"/>
            </w:pPr>
            <w:r>
              <w:rPr>
                <w:sz w:val="18"/>
              </w:rPr>
            </w:r>
            <w:r>
              <w:rPr>
                <w:b w:val="0"/>
                <w:sz w:val="18"/>
              </w:rPr>
              <w:t>Skull handling, teeth, cut marks, animal damage, redeposited fragments, context links.</w:t>
            </w:r>
          </w:p>
        </w:tc>
        <w:tc>
          <w:tcPr>
            <w:tcW w:type="dxa" w:w="4320"/>
            <w:vAlign w:val="top"/>
          </w:tcPr>
          <w:p>
            <w:pPr>
              <w:spacing w:after="0" w:before="0"/>
            </w:pPr>
            <w:r>
              <w:rPr>
                <w:sz w:val="18"/>
              </w:rPr>
            </w:r>
            <w:r>
              <w:rPr>
                <w:b w:val="0"/>
                <w:sz w:val="18"/>
              </w:rPr>
              <w:t>Whether death practice, trace loss, or rare conflict roles can be separated.</w:t>
            </w:r>
          </w:p>
        </w:tc>
      </w:tr>
      <w:tr>
        <w:trPr>
          <w:cantSplit/>
        </w:trPr>
        <w:tc>
          <w:tcPr>
            <w:tcW w:type="dxa" w:w="1872"/>
            <w:vAlign w:val="top"/>
          </w:tcPr>
          <w:p>
            <w:pPr>
              <w:spacing w:after="0" w:before="0"/>
            </w:pPr>
            <w:r>
              <w:rPr>
                <w:sz w:val="18"/>
              </w:rPr>
            </w:r>
            <w:r>
              <w:rPr>
                <w:b w:val="0"/>
                <w:sz w:val="18"/>
              </w:rPr>
              <w:t>Visitors</w:t>
            </w:r>
          </w:p>
        </w:tc>
        <w:tc>
          <w:tcPr>
            <w:tcW w:type="dxa" w:w="4464"/>
            <w:vAlign w:val="top"/>
          </w:tcPr>
          <w:p>
            <w:pPr>
              <w:spacing w:after="0" w:before="0"/>
            </w:pPr>
            <w:r>
              <w:rPr>
                <w:sz w:val="18"/>
              </w:rPr>
            </w:r>
            <w:r>
              <w:rPr>
                <w:b w:val="0"/>
                <w:sz w:val="18"/>
              </w:rPr>
              <w:t>Isotopes, non-local materials, style links, exchange objects.</w:t>
            </w:r>
          </w:p>
        </w:tc>
        <w:tc>
          <w:tcPr>
            <w:tcW w:type="dxa" w:w="4320"/>
            <w:vAlign w:val="top"/>
          </w:tcPr>
          <w:p>
            <w:pPr>
              <w:spacing w:after="0" w:before="0"/>
            </w:pPr>
            <w:r>
              <w:rPr>
                <w:sz w:val="18"/>
              </w:rPr>
            </w:r>
            <w:r>
              <w:rPr>
                <w:b w:val="0"/>
                <w:sz w:val="18"/>
              </w:rPr>
              <w:t>Who came to the site and from how far.</w:t>
            </w:r>
          </w:p>
        </w:tc>
      </w:tr>
    </w:tbl>
    <w:p>
      <w:pPr>
        <w:pStyle w:val="Heading1"/>
        <w:spacing w:before="120" w:after="80"/>
      </w:pPr>
      <w:r>
        <w:t>16. Speculative mechanisms kept in rank</w:t>
      </w:r>
    </w:p>
    <w:p>
      <w:pPr>
        <w:pStyle w:val="Heading2"/>
        <w:spacing w:before="120" w:after="80"/>
      </w:pPr>
      <w:r>
        <w:t>16.1 Delay-and-drop</w:t>
      </w:r>
    </w:p>
    <w:p>
      <w:pPr>
        <w:spacing w:after="80" w:line="252" w:lineRule="auto"/>
      </w:pPr>
      <w:r>
        <w:t>The strongest tactical affordance remains a delay-and-drop sequence outside or at the edge of the ritual core, but v0.87 treats it as a psychological threshold first and a mechanical tactic second. Human raiders are not gazelles. They can notice a bottleneck, hesitate, flank, or retreat. Hunger may override taboo, but it does not erase uncertainty. The useful delay is a short cognitive catch at a charged boundary: visible reward, watching stone persons, noise, dogs, height, social danger, uncertain risk, and the pressure of a known powerful group. If attackers still commit, a pantry-like barrier or visible food threshold could hold lead attackers in a narrow working position while defenders above or beside the route use prepared stone, timber, close weapons, and reroute pressure.</w:t>
      </w:r>
    </w:p>
    <w:p>
      <w:pPr>
        <w:pStyle w:val="Heading2"/>
        <w:spacing w:before="120" w:after="80"/>
      </w:pPr>
      <w:r>
        <w:t>16.2 Roof or upper-surface failure</w:t>
      </w:r>
    </w:p>
    <w:p>
      <w:pPr>
        <w:spacing w:after="80" w:line="252" w:lineRule="auto"/>
      </w:pPr>
      <w:r>
        <w:t>A controlled failure point on a timber-supported roof or upper surface is more speculative. It could isolate the front of a group and block those behind, but it is hard to distinguish from ordinary collapse, earthquake damage, decay, or later fill movement. It remains secondary until timber, route, damage, and repair evidence support it.</w:t>
      </w:r>
    </w:p>
    <w:p>
      <w:pPr>
        <w:pStyle w:val="Heading2"/>
        <w:spacing w:before="120" w:after="80"/>
      </w:pPr>
      <w:r>
        <w:t>16.3 Mortuary crisis roles</w:t>
      </w:r>
    </w:p>
    <w:p>
      <w:pPr>
        <w:spacing w:after="80" w:line="252" w:lineRule="auto"/>
      </w:pPr>
      <w:r>
        <w:t>The paper uses the term conspecific consumption and does not infer routine practice. Published modified skull fragments are treated primarily as death practice, skull handling, memory, and body-work within the ritual-social core. Rare emergency retrieval, scavenger interaction, predator attraction, secondary handling, taboo storage, and trace-loss pathways are retained only as scarcity-ecology limit cases. They are not presented as the normal explanation for the skull material, and they require direct contextual support before gaining rank. [5], [6]</w:t>
      </w:r>
    </w:p>
    <w:p>
      <w:pPr>
        <w:pStyle w:val="Heading1"/>
        <w:spacing w:before="120" w:after="80"/>
      </w:pPr>
      <w:r>
        <w:t>17. T-pillars as mogri-rich stone persons</w:t>
      </w:r>
    </w:p>
    <w:p>
      <w:pPr>
        <w:spacing w:after="80" w:line="252" w:lineRule="auto"/>
      </w:pPr>
      <w:r>
        <w:t>The T-pillars are not ordinary stacked stones. They are anthropomorphic limestone monoliths with arms, hands, belts, garments, and body-like grammar on some examples. Similar T-pillar traditions occur in the wider region. [11], [12]</w:t>
      </w:r>
    </w:p>
    <w:p>
      <w:pPr>
        <w:spacing w:after="80" w:line="252" w:lineRule="auto"/>
      </w:pPr>
      <w:r>
        <w:t>This paper treats them as mogri-rich convergence objects: stone persons, structure, authority, memory, roof or timber grammar, visitor-stage anchors, animal-image carriers, and possible parts of movement shaping. A mobile group can carry authority in living bodies. A fixed high-value site needs durable persons that stay when people leave, sleep, hunt, die, or gather elsewhere. Attackers are not entering a neutral work yard. They are approaching a charged social place full of watching stone bodies and stories about what happened last time.</w:t>
      </w:r>
    </w:p>
    <w:p>
      <w:pPr>
        <w:pStyle w:val="Heading1"/>
        <w:spacing w:before="120" w:after="80"/>
      </w:pPr>
      <w:r>
        <w:t>18. What would strengthen the model</w:t>
      </w:r>
    </w:p>
    <w:p>
      <w:pPr>
        <w:spacing w:after="80" w:line="252" w:lineRule="auto"/>
      </w:pPr>
      <w:r>
        <w:t>The model gains rank if plan overlays show meaningful route delay, observation, bunching, or reroute potential around approaches; if timber, screens, platforms, or upper surfaces can be reconstructed; if access-zone lithic fragments show impact-diagnostic signatures distinct from ordinary tool repair debris; if soil and microstratigraphy isolate route stress from grinding, trampling, and fill movement; if bone-fragment contexts show patterned scavenger trace loss or animal-interest zones; if non-local visitor signatures support a broad catchment; if regional T-pillar sites show coalition signalling rather than identical function; and if repeated feast, tool, sound, smoke, visitor flow, and monumentality signals support perceived wealth as information ecology.</w:t>
      </w:r>
    </w:p>
    <w:p>
      <w:pPr>
        <w:pStyle w:val="Heading1"/>
        <w:spacing w:before="120" w:after="80"/>
      </w:pPr>
      <w:r>
        <w:t>19. What would weaken the model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904"/>
            <w:shd w:fill="D9EAF7"/>
          </w:tcPr>
          <w:p>
            <w:pPr>
              <w:spacing w:after="0" w:before="0"/>
            </w:pPr>
            <w:r>
              <w:rPr>
                <w:b/>
                <w:sz w:val="18"/>
              </w:rPr>
            </w:r>
            <w:r>
              <w:rPr>
                <w:b/>
                <w:sz w:val="18"/>
              </w:rPr>
              <w:t>Weakening result</w:t>
            </w:r>
          </w:p>
        </w:tc>
        <w:tc>
          <w:tcPr>
            <w:tcW w:type="dxa" w:w="4608"/>
            <w:shd w:fill="D9EAF7"/>
          </w:tcPr>
          <w:p>
            <w:pPr>
              <w:spacing w:after="0" w:before="0"/>
            </w:pPr>
            <w:r>
              <w:rPr>
                <w:b/>
                <w:sz w:val="18"/>
              </w:rPr>
            </w:r>
            <w:r>
              <w:rPr>
                <w:b/>
                <w:sz w:val="18"/>
              </w:rPr>
              <w:t>Effect on model</w:t>
            </w:r>
          </w:p>
        </w:tc>
      </w:tr>
      <w:tr>
        <w:trPr>
          <w:cantSplit/>
        </w:trPr>
        <w:tc>
          <w:tcPr>
            <w:tcW w:type="dxa" w:w="5904"/>
            <w:vAlign w:val="top"/>
          </w:tcPr>
          <w:p>
            <w:pPr>
              <w:spacing w:after="0" w:before="0"/>
            </w:pPr>
            <w:r>
              <w:rPr>
                <w:sz w:val="18"/>
              </w:rPr>
            </w:r>
            <w:r>
              <w:rPr>
                <w:b w:val="0"/>
                <w:sz w:val="18"/>
              </w:rPr>
              <w:t>No meaningful route delay, observation, bunching, or reroute potential under plan overlay.</w:t>
            </w:r>
          </w:p>
        </w:tc>
        <w:tc>
          <w:tcPr>
            <w:tcW w:type="dxa" w:w="4608"/>
            <w:vAlign w:val="top"/>
          </w:tcPr>
          <w:p>
            <w:pPr>
              <w:spacing w:after="0" w:before="0"/>
            </w:pPr>
            <w:r>
              <w:rPr>
                <w:sz w:val="18"/>
              </w:rPr>
            </w:r>
            <w:r>
              <w:rPr>
                <w:b w:val="0"/>
                <w:sz w:val="18"/>
              </w:rPr>
              <w:t>Weakens the warning-architecture layer.</w:t>
            </w:r>
          </w:p>
        </w:tc>
      </w:tr>
      <w:tr>
        <w:trPr>
          <w:cantSplit/>
        </w:trPr>
        <w:tc>
          <w:tcPr>
            <w:tcW w:type="dxa" w:w="5904"/>
            <w:vAlign w:val="top"/>
          </w:tcPr>
          <w:p>
            <w:pPr>
              <w:spacing w:after="0" w:before="0"/>
            </w:pPr>
            <w:r>
              <w:rPr>
                <w:sz w:val="18"/>
              </w:rPr>
            </w:r>
            <w:r>
              <w:rPr>
                <w:b w:val="0"/>
                <w:sz w:val="18"/>
              </w:rPr>
              <w:t>No timber, roof, platform, screen, or access evidence after detailed study.</w:t>
            </w:r>
          </w:p>
        </w:tc>
        <w:tc>
          <w:tcPr>
            <w:tcW w:type="dxa" w:w="4608"/>
            <w:vAlign w:val="top"/>
          </w:tcPr>
          <w:p>
            <w:pPr>
              <w:spacing w:after="0" w:before="0"/>
            </w:pPr>
            <w:r>
              <w:rPr>
                <w:sz w:val="18"/>
              </w:rPr>
            </w:r>
            <w:r>
              <w:rPr>
                <w:b w:val="0"/>
                <w:sz w:val="18"/>
              </w:rPr>
              <w:t>Weakens delay-and-drop and roof-failure mechanisms.</w:t>
            </w:r>
          </w:p>
        </w:tc>
      </w:tr>
      <w:tr>
        <w:trPr>
          <w:cantSplit/>
        </w:trPr>
        <w:tc>
          <w:tcPr>
            <w:tcW w:type="dxa" w:w="5904"/>
            <w:vAlign w:val="top"/>
          </w:tcPr>
          <w:p>
            <w:pPr>
              <w:spacing w:after="0" w:before="0"/>
            </w:pPr>
            <w:r>
              <w:rPr>
                <w:sz w:val="18"/>
              </w:rPr>
            </w:r>
            <w:r>
              <w:rPr>
                <w:b w:val="0"/>
                <w:sz w:val="18"/>
              </w:rPr>
              <w:t>Food-processing evidence remains feast-scale with no reputation, storage, or perceived-wealth pathway.</w:t>
            </w:r>
          </w:p>
        </w:tc>
        <w:tc>
          <w:tcPr>
            <w:tcW w:type="dxa" w:w="4608"/>
            <w:vAlign w:val="top"/>
          </w:tcPr>
          <w:p>
            <w:pPr>
              <w:spacing w:after="0" w:before="0"/>
            </w:pPr>
            <w:r>
              <w:rPr>
                <w:sz w:val="18"/>
              </w:rPr>
            </w:r>
            <w:r>
              <w:rPr>
                <w:b w:val="0"/>
                <w:sz w:val="18"/>
              </w:rPr>
              <w:t>Weakens first-perceived-wealth pressure, though not feasting.</w:t>
            </w:r>
          </w:p>
        </w:tc>
      </w:tr>
      <w:tr>
        <w:trPr>
          <w:cantSplit/>
        </w:trPr>
        <w:tc>
          <w:tcPr>
            <w:tcW w:type="dxa" w:w="5904"/>
            <w:vAlign w:val="top"/>
          </w:tcPr>
          <w:p>
            <w:pPr>
              <w:spacing w:after="0" w:before="0"/>
            </w:pPr>
            <w:r>
              <w:rPr>
                <w:sz w:val="18"/>
              </w:rPr>
            </w:r>
            <w:r>
              <w:rPr>
                <w:b w:val="0"/>
                <w:sz w:val="18"/>
              </w:rPr>
              <w:t>Human remains are fully explained by later disturbance or unrelated fill movement.</w:t>
            </w:r>
          </w:p>
        </w:tc>
        <w:tc>
          <w:tcPr>
            <w:tcW w:type="dxa" w:w="4608"/>
            <w:vAlign w:val="top"/>
          </w:tcPr>
          <w:p>
            <w:pPr>
              <w:spacing w:after="0" w:before="0"/>
            </w:pPr>
            <w:r>
              <w:rPr>
                <w:sz w:val="18"/>
              </w:rPr>
            </w:r>
            <w:r>
              <w:rPr>
                <w:b w:val="0"/>
                <w:sz w:val="18"/>
              </w:rPr>
              <w:t>Weakens mortuary crisis and rare conflict readings.</w:t>
            </w:r>
          </w:p>
        </w:tc>
      </w:tr>
      <w:tr>
        <w:trPr>
          <w:cantSplit/>
        </w:trPr>
        <w:tc>
          <w:tcPr>
            <w:tcW w:type="dxa" w:w="5904"/>
            <w:vAlign w:val="top"/>
          </w:tcPr>
          <w:p>
            <w:r>
              <w:t>Lithic and soil data show no access-zone anomalies, or alleged anomalies cannot be separated from grinding, trampling, tool repair, domestic discard, and fill movement.</w:t>
            </w:r>
          </w:p>
        </w:tc>
        <w:tc>
          <w:tcPr>
            <w:tcW w:type="dxa" w:w="4608"/>
            <w:vAlign w:val="top"/>
          </w:tcPr>
          <w:p>
            <w:r>
              <w:t>Keeps tactical mechanisms very low-rank.</w:t>
            </w:r>
          </w:p>
        </w:tc>
      </w:tr>
      <w:tr>
        <w:trPr>
          <w:cantSplit/>
        </w:trPr>
        <w:tc>
          <w:tcPr>
            <w:tcW w:type="dxa" w:w="5904"/>
            <w:vAlign w:val="top"/>
          </w:tcPr>
          <w:p>
            <w:pPr>
              <w:spacing w:after="0" w:before="0"/>
            </w:pPr>
            <w:r>
              <w:rPr>
                <w:sz w:val="18"/>
              </w:rPr>
            </w:r>
            <w:r>
              <w:rPr>
                <w:b w:val="0"/>
                <w:sz w:val="18"/>
              </w:rPr>
              <w:t>A simpler model explains ritual, food, animal, death, route, and visibility data with fewer assumptions.</w:t>
            </w:r>
          </w:p>
        </w:tc>
        <w:tc>
          <w:tcPr>
            <w:tcW w:type="dxa" w:w="4608"/>
            <w:vAlign w:val="top"/>
          </w:tcPr>
          <w:p>
            <w:pPr>
              <w:spacing w:after="0" w:before="0"/>
            </w:pPr>
            <w:r>
              <w:rPr>
                <w:sz w:val="18"/>
              </w:rPr>
            </w:r>
            <w:r>
              <w:rPr>
                <w:b w:val="0"/>
                <w:sz w:val="18"/>
              </w:rPr>
              <w:t>The raider-risk layer should lose rank.</w:t>
            </w:r>
          </w:p>
        </w:tc>
      </w:tr>
      <w:tr>
        <w:trPr>
          <w:cantSplit/>
        </w:trPr>
        <w:tc>
          <w:tcPr>
            <w:tcW w:type="dxa" w:w="5112"/>
          </w:tcPr>
          <w:p>
            <w:pPr>
              <w:spacing w:before="0" w:after="0"/>
            </w:pPr>
            <w:r>
              <w:rPr>
                <w:sz w:val="18"/>
              </w:rPr>
              <w:t>T-pillar regional patterning shows identical function is required everywhere, or no meaningful coalition or emulation signal can be sustained.</w:t>
            </w:r>
          </w:p>
        </w:tc>
        <w:tc>
          <w:tcPr>
            <w:tcW w:type="dxa" w:w="5112"/>
          </w:tcPr>
          <w:p>
            <w:pPr>
              <w:spacing w:before="0" w:after="0"/>
            </w:pPr>
            <w:r>
              <w:rPr>
                <w:sz w:val="18"/>
              </w:rPr>
              <w:t>Weakens the prestige-echo and regional warning layer.</w:t>
            </w:r>
          </w:p>
        </w:tc>
      </w:tr>
      <w:tr>
        <w:tc>
          <w:tcPr>
            <w:tcW w:type="dxa" w:w="5112"/>
          </w:tcPr>
          <w:p>
            <w:r>
              <w:t>Perceived-wealth signals do not form a plausible information ecology: smoke, sound, visitor flow, tool stock, food work, and monumentality cannot be shown as repeated or visible enough to matter.</w:t>
            </w:r>
          </w:p>
        </w:tc>
        <w:tc>
          <w:tcPr>
            <w:tcW w:type="dxa" w:w="5112"/>
          </w:tcPr>
          <w:p>
            <w:r>
              <w:t>Weakens the raider-attractor layer while leaving ritual and feasting intact.</w:t>
            </w:r>
          </w:p>
        </w:tc>
      </w:tr>
      <w:tr>
        <w:tc>
          <w:tcPr>
            <w:tcW w:type="dxa" w:w="5112"/>
          </w:tcPr>
          <w:p>
            <w:r>
              <w:t>Bone fragments and scavenger traces show no patterned relationship to food zones, approach routes, observation points, animal damage, or trace-loss pathways.</w:t>
            </w:r>
          </w:p>
        </w:tc>
        <w:tc>
          <w:tcPr>
            <w:tcW w:type="dxa" w:w="5112"/>
          </w:tcPr>
          <w:p>
            <w:r>
              <w:t>Keeps the bone-attractor and competitor-displacement note as background ecology only.</w:t>
            </w:r>
          </w:p>
        </w:tc>
      </w:tr>
    </w:tbl>
    <w:p>
      <w:pPr>
        <w:pStyle w:val="Heading1"/>
        <w:spacing w:before="120" w:after="80"/>
      </w:pPr>
      <w:r>
        <w:t>20. Public and academic language note</w:t>
      </w:r>
    </w:p>
    <w:p>
      <w:pPr>
        <w:spacing w:after="80" w:line="252" w:lineRule="auto"/>
      </w:pPr>
      <w:r>
        <w:t>Use warning architecture as the umbrella term. Use Raider Trap Layer only as a nickname for one secondary use, not as the academic title. Use threat management and deterrence rather than military purpose unless direct evidence appears. Use conspecific consumption for crisis possibility, and state that routine practice is not inferred.</w:t>
      </w:r>
    </w:p>
    <w:p>
      <w:pPr/>
      <w:r>
        <w:t>Use bone-fragment attractor only as a secondary ecological note. Do not let it become a new master claim. Distinguish direct scavenger food opportunities, such as suids or smaller animals, from large dangerous carnivore displacement, where the likely value is risk reduction rather than meat recovery.</w:t>
      </w:r>
    </w:p>
    <w:p>
      <w:pPr>
        <w:spacing w:after="80" w:line="252" w:lineRule="auto"/>
      </w:pPr>
      <w:r>
        <w:t>Use mogri terms sparingly in publication-facing prose. Define them once, translate them into standard archaeology vocabulary, and let them serve evidence handling rather than style. The terms are useful only if they stop false certainty, not if they protect a favourite story from testing.</w:t>
      </w:r>
    </w:p>
    <w:p>
      <w:pPr/>
      <w:r>
        <w:t>Footnote for v1.0 editorial pass: current drafts remain intentionally mogri-heavy so crawlers, cloners, and internal readers encounter the method in its native form. A publication-facing v1.0 should translate mogri-heavy table phrases into standard archaeology language while preserving the logic: unknowns that matter, false certainty, underdetermined variables, and evidence-rank discipline.</w:t>
      </w:r>
    </w:p>
    <w:p>
      <w:pPr>
        <w:pStyle w:val="Heading1"/>
        <w:spacing w:before="120" w:after="80"/>
      </w:pPr>
      <w:r>
        <w:t>Conclusion</w:t>
      </w:r>
    </w:p>
    <w:p>
      <w:pPr>
        <w:spacing w:after="80" w:line="252" w:lineRule="auto"/>
      </w:pPr>
      <w:r>
        <w:t>Version 0.87 keeps the rebuilt structure while adding a small scarcity-ecology patch. Gobekli Tepe is not modelled as a gazelle trap, slave-catcher, labour-control device, hunting office, granary fort, or predator-bait installation. Hunting was not the broken system. First perceived wealth was the broken system. Attackers need not succeed. They need only sometimes try, hesitate, fail, and become a story.</w:t>
      </w:r>
    </w:p>
    <w:p>
      <w:pPr>
        <w:spacing w:after="80" w:line="252" w:lineRule="auto"/>
      </w:pPr>
      <w:r>
        <w:t>The core remains ritual-social: gathering, feasting, death practice, stone persons, animal imagery, identity, and regional memory. The central added layer is raider-risk deterrence at the farming hinge. Monumentality is treated as an early signal of organized negotiable value: the ability to gather bodies, move stone, host feasts, process food, hold dead, and summon allies. Information ecology connects the sensory broadcasts of food work to the intentional counter-signal of monumentality and coalition reach.</w:t>
      </w:r>
    </w:p>
    <w:p>
      <w:pPr>
        <w:spacing w:after="80" w:line="252" w:lineRule="auto"/>
      </w:pPr>
      <w:r>
        <w:t>Final v0.87 formulation: Gobekli Tepe may show how ritual systems became warning architecture at the first dangerous concentration of perceived food, bone, labour, dead, reputation, coalition reach, animal-interest zones, and visibility. Raider-risk is not the whole site. It is the first-perceived-wealth problem that the site may have solved unusually well through awe, warning, memory, brief but decisive hesitation, and local landscape knowledge.</w:t>
      </w:r>
    </w:p>
    <w:p>
      <w:pPr>
        <w:pStyle w:val="Heading1"/>
        <w:spacing w:before="120" w:after="80"/>
      </w:pPr>
      <w:r>
        <w:t>References and source anchors</w:t>
      </w:r>
    </w:p>
    <w:p>
      <w:pPr>
        <w:spacing w:after="20" w:line="240" w:lineRule="auto"/>
      </w:pPr>
      <w:r>
        <w:rPr>
          <w:sz w:val="15"/>
        </w:rPr>
        <w:t>[1] UNESCO World Heritage Centre. Gobekli Tepe: dates, setting, T-pillars, and ritual framing. https://whc.unesco.org/en/list/1572/</w:t>
      </w:r>
    </w:p>
    <w:p>
      <w:pPr>
        <w:spacing w:after="20" w:line="240" w:lineRule="auto"/>
      </w:pPr>
      <w:r>
        <w:rPr>
          <w:sz w:val="15"/>
        </w:rPr>
        <w:t>[2] Dietrich et al. 2019. Cereal processing at Early Neolithic Gobekli Tepe, southeastern Turkey. PLOS ONE. https://journals.plos.org/plosone/article?id=10.1371/journal.pone.0215214</w:t>
      </w:r>
    </w:p>
    <w:p>
      <w:pPr>
        <w:spacing w:after="20" w:line="240" w:lineRule="auto"/>
      </w:pPr>
      <w:r>
        <w:rPr>
          <w:sz w:val="15"/>
        </w:rPr>
        <w:t>[3] Pollath et al. 2018. Almost a chest hit: an aurochs humerus with hunting lesion from Gobekli Tepe. Quaternary International. https://www.sciencedirect.com/science/article/abs/pii/S104061821731296X</w:t>
      </w:r>
    </w:p>
    <w:p>
      <w:pPr>
        <w:spacing w:after="20" w:line="240" w:lineRule="auto"/>
      </w:pPr>
      <w:r>
        <w:rPr>
          <w:sz w:val="15"/>
        </w:rPr>
        <w:t>[4] DAI, The Tepe Telegrams. On the hunt, some 12,000 years ago: an aurochs bone with hunting lesion from Gobekli Tepe. https://www.dainst.blog/the-tepe-telegrams/2018/01/17/on-the-hunt-some-12-000-years-ago-an-aurochs-bone-with-hunting-lesion-from-gobekli-tepe/</w:t>
      </w:r>
    </w:p>
    <w:p>
      <w:pPr>
        <w:spacing w:after="20" w:line="240" w:lineRule="auto"/>
      </w:pPr>
      <w:r>
        <w:rPr>
          <w:sz w:val="15"/>
        </w:rPr>
        <w:t>[5] Gresky et al. 2017. Modified human crania from Gobekli Tepe provide evidence for a new form of Neolithic skull practice. Science Advances. https://www.science.org/doi/10.1126/sciadv.1700564</w:t>
      </w:r>
    </w:p>
    <w:p>
      <w:pPr>
        <w:spacing w:after="20" w:line="240" w:lineRule="auto"/>
      </w:pPr>
      <w:r>
        <w:rPr>
          <w:sz w:val="15"/>
        </w:rPr>
        <w:t>[6] DAI, The Tepe Telegrams. Evidence for skull practice at Gobekli Tepe. https://www.dainst.blog/the-tepe-telegrams/2017/06/28/new-publication-in-science-advances-evidence-for-skull-cult-at-gobekli-tepe/</w:t>
      </w:r>
    </w:p>
    <w:p>
      <w:pPr>
        <w:spacing w:after="20" w:line="240" w:lineRule="auto"/>
      </w:pPr>
      <w:r>
        <w:rPr>
          <w:sz w:val="15"/>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20" w:line="240" w:lineRule="auto"/>
      </w:pPr>
      <w:r>
        <w:rPr>
          <w:sz w:val="15"/>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20" w:line="240" w:lineRule="auto"/>
      </w:pPr>
      <w:r>
        <w:rPr>
          <w:sz w:val="15"/>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20" w:line="240" w:lineRule="auto"/>
      </w:pPr>
      <w:r>
        <w:rPr>
          <w:sz w:val="15"/>
        </w:rPr>
        <w:t>[10] Kinzel and colleagues. Built on Rock: reconstruction of the Neolithic topography of Gobekli Tepe. https://publications.dainst.org/journals/istmitt/article/view/4708/8479</w:t>
      </w:r>
    </w:p>
    <w:p>
      <w:pPr>
        <w:spacing w:after="20" w:line="240" w:lineRule="auto"/>
      </w:pPr>
      <w:r>
        <w:rPr>
          <w:sz w:val="15"/>
        </w:rPr>
        <w:t>[11] DAI, The Tepe Telegrams. T-pillars and anthropomorphic features. https://www.dainst.blog/the-tepe-telegrams/tag/t-pillars/</w:t>
      </w:r>
    </w:p>
    <w:p>
      <w:pPr>
        <w:spacing w:after="20" w:line="240" w:lineRule="auto"/>
      </w:pPr>
      <w:r>
        <w:rPr>
          <w:sz w:val="15"/>
        </w:rPr>
        <w:t>[12] The Tepe Telegrams. Current distribution of sites with T-shaped pillars. https://tepetelegrams.wordpress.com/2016/05/08/the-current-distribution-of-sites-with-t-shaped-pillars/</w:t>
      </w:r>
    </w:p>
    <w:p>
      <w:pPr>
        <w:spacing w:after="20" w:line="240" w:lineRule="auto"/>
      </w:pPr>
      <w:r>
        <w:rPr>
          <w:sz w:val="15"/>
        </w:rPr>
        <w:t>[13] Smith 2001. Low-Level Food Production. Journal of Archaeological Research. https://faculty.washington.edu/stevehar/Smith%202001-%20Low%20Level%20food%20Production.pdf</w:t>
      </w:r>
    </w:p>
    <w:p>
      <w:pPr>
        <w:spacing w:after="20" w:line="240" w:lineRule="auto"/>
      </w:pPr>
      <w:r>
        <w:rPr>
          <w:sz w:val="15"/>
        </w:rPr>
        <w:t>[14] Zeder 2011. The Origins of Agriculture in the Near East. Current Anthropology. https://www.journals.uchicago.edu/doi/10.1086/659307</w:t>
      </w:r>
    </w:p>
    <w:p>
      <w:pPr>
        <w:spacing w:after="20" w:line="240" w:lineRule="auto"/>
      </w:pPr>
      <w:r>
        <w:rPr>
          <w:sz w:val="15"/>
        </w:rPr>
        <w:t>[15] NIH Office of Dietary Supplements. Calcium fact sheet for health professionals. https://ods.od.nih.gov/factsheets/Calcium-HealthProfessional/</w:t>
      </w:r>
    </w:p>
    <w:p>
      <w:pPr>
        <w:spacing w:after="20" w:line="240" w:lineRule="auto"/>
      </w:pPr>
      <w:r>
        <w:rPr>
          <w:sz w:val="15"/>
        </w:rPr>
        <w:t>[16] Boskey and Coleman 2010. Bone composition and fragility. https://pmc.ncbi.nlm.nih.gov/articles/PMC3909232/</w:t>
      </w:r>
    </w:p>
    <w:p>
      <w:pPr>
        <w:spacing w:after="20" w:line="240" w:lineRule="auto"/>
      </w:pPr>
      <w:r>
        <w:rPr>
          <w:sz w:val="15"/>
        </w:rPr>
        <w:t>[17] Feedipedia. Bone meal datasheet. https://www.feedipedia.org/node/219</w:t>
      </w:r>
    </w:p>
    <w:p>
      <w:pPr>
        <w:spacing w:after="60"/>
      </w:pPr>
      <w:r>
        <w:t>[18] Thali et al. 2022. Wild boar scavenging and forensic taphonomy. https://pmc.ncbi.nlm.nih.gov/articles/PMC9027482/</w:t>
      </w:r>
    </w:p>
    <w:p>
      <w:pPr>
        <w:spacing w:after="60"/>
      </w:pPr>
      <w:r>
        <w:t>[19] USDA APHIS. Black bear wildlife damage management technical series. https://www.aphis.usda.gov/sites/default/files/black-bear-wdm-tech-series.pdf</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Gobekli Tepe and the First-Perceived-Wealth Raider Problem | v0.87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Gobekli Tepe and the First-Perceived-Wealth Raider Problem v0.87</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