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t>Working paper v0.88 | 18 May 2026</w:t>
      </w:r>
    </w:p>
    <w:p>
      <w:pPr>
        <w:pStyle w:val="Heading1"/>
        <w:spacing w:before="120" w:after="80"/>
      </w:pPr>
      <w:r>
        <w:t>Abstract</w:t>
      </w:r>
    </w:p>
    <w:p>
      <w:pPr>
        <w:spacing w:after="80" w:line="252" w:lineRule="auto"/>
      </w:pPr>
      <w:r>
        <w:t>Version 0.88 keeps the rebuilt v0.83 structure and the v0.84-v0.87 reviewer patches, then adds one small methods calibration. Because scavengers and ordinary site activity can disturb organic residues, threshold-stress testing must not rely on soil chemistry alone. Organic markers should be cross-checked against less mobile traces such as impact-shattered lithic fragments, embedded tip fragments, micro-striations or spalling on limestone edges, localized repair, unusual rubble placement, and route-specific patterning.</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core site reading remains ceremonial gathering, feasting, death practice, T-pillars as stone persons, social identity, and regional symbolic network. The added thesis is that this system may have reduced rare but severe raider risk by making failed attack memorable, by advertising coalition capacity, and by making attack feel costly before it began.</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or administered as labour, that ritual was a cover story for tactical mechanics, that large stores have already been found, that useful projectile points must remain where they fell, or that bone-fragment attractors were a primary site function. Direct raid proof is still absent.</w:t>
      </w:r>
    </w:p>
    <w:p>
      <w:pPr>
        <w:spacing w:after="80" w:line="252" w:lineRule="auto"/>
      </w:pPr>
      <w:r>
        <w:t>This paper does propose that perceived wealth could generate raider pressure; that a major ritual group could advertise organized value without possessing a later-style granary; that the site could convert outsiders into guests, witnesses, allies, warned rivals, or failed attackers; that one or two serious incidents may be enough to alter architecture and generate legend; that a brief psychological delay may matter under stress; that bone waste can belong to trace-loss and competitor-displacement ecology; that impact tests need multi-class patterning rather than single anomalies; and that any tactical mechanism remains low-rank until future data demogrifies it.</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656"/>
            <w:shd w:fill="D9EAF7"/>
          </w:tcPr>
          <w:p>
            <w:pPr>
              <w:spacing w:after="0" w:before="0"/>
            </w:pPr>
            <w:r>
              <w:rPr>
                <w:b/>
                <w:sz w:val="18"/>
              </w:rPr>
            </w:r>
            <w:r>
              <w:rPr>
                <w:b/>
                <w:sz w:val="18"/>
              </w:rPr>
              <w:t>Rank</w:t>
            </w:r>
          </w:p>
        </w:tc>
        <w:tc>
          <w:tcPr>
            <w:tcW w:type="dxa" w:w="3168"/>
            <w:shd w:fill="D9EAF7"/>
          </w:tcPr>
          <w:p>
            <w:pPr>
              <w:spacing w:after="0" w:before="0"/>
            </w:pPr>
            <w:r>
              <w:rPr>
                <w:b/>
                <w:sz w:val="18"/>
              </w:rPr>
            </w:r>
            <w:r>
              <w:rPr>
                <w:b/>
                <w:sz w:val="18"/>
              </w:rPr>
              <w:t>Function</w:t>
            </w:r>
          </w:p>
        </w:tc>
        <w:tc>
          <w:tcPr>
            <w:tcW w:type="dxa" w:w="3024"/>
            <w:shd w:fill="D9EAF7"/>
          </w:tcPr>
          <w:p>
            <w:pPr>
              <w:spacing w:after="0" w:before="0"/>
            </w:pPr>
            <w:r>
              <w:rPr>
                <w:b/>
                <w:sz w:val="18"/>
              </w:rPr>
            </w:r>
            <w:r>
              <w:rPr>
                <w:b/>
                <w:sz w:val="18"/>
              </w:rPr>
              <w:t>Evidence status</w:t>
            </w:r>
          </w:p>
        </w:tc>
        <w:tc>
          <w:tcPr>
            <w:tcW w:type="dxa" w:w="3024"/>
            <w:shd w:fill="D9EAF7"/>
          </w:tcPr>
          <w:p>
            <w:pPr>
              <w:spacing w:after="0" w:before="0"/>
            </w:pPr>
            <w:r>
              <w:rPr>
                <w:b/>
                <w:sz w:val="18"/>
              </w:rPr>
              <w:t>Use in v0.88</w:t>
            </w:r>
          </w:p>
        </w:tc>
      </w:tr>
      <w:tr>
        <w:trPr>
          <w:cantSplit/>
        </w:trPr>
        <w:tc>
          <w:tcPr>
            <w:tcW w:type="dxa" w:w="1656"/>
            <w:vAlign w:val="top"/>
          </w:tcPr>
          <w:p>
            <w:pPr>
              <w:spacing w:after="0" w:before="0"/>
            </w:pPr>
            <w:r>
              <w:rPr>
                <w:sz w:val="18"/>
              </w:rPr>
            </w:r>
            <w:r>
              <w:rPr>
                <w:b w:val="0"/>
                <w:sz w:val="18"/>
              </w:rPr>
              <w:t>Core</w:t>
            </w:r>
          </w:p>
        </w:tc>
        <w:tc>
          <w:tcPr>
            <w:tcW w:type="dxa" w:w="3168"/>
            <w:vAlign w:val="top"/>
          </w:tcPr>
          <w:p>
            <w:pPr>
              <w:spacing w:after="0" w:before="0"/>
            </w:pPr>
            <w:r>
              <w:rPr>
                <w:sz w:val="18"/>
              </w:rPr>
            </w:r>
            <w:r>
              <w:rPr>
                <w:b w:val="0"/>
                <w:sz w:val="18"/>
              </w:rPr>
              <w:t>Ceremonial gathering, feasting, death practice, T-pillars as stone persons, social identity, regional symbolic network.</w:t>
            </w:r>
          </w:p>
        </w:tc>
        <w:tc>
          <w:tcPr>
            <w:tcW w:type="dxa" w:w="3024"/>
            <w:vAlign w:val="top"/>
          </w:tcPr>
          <w:p>
            <w:pPr>
              <w:spacing w:after="0" w:before="0"/>
            </w:pPr>
            <w:r>
              <w:rPr>
                <w:sz w:val="18"/>
              </w:rPr>
            </w:r>
            <w:r>
              <w:rPr>
                <w:b w:val="0"/>
                <w:sz w:val="18"/>
              </w:rPr>
              <w:t>Strongest fit to present published descriptions.</w:t>
            </w:r>
          </w:p>
        </w:tc>
        <w:tc>
          <w:tcPr>
            <w:tcW w:type="dxa" w:w="3024"/>
            <w:vAlign w:val="top"/>
          </w:tcPr>
          <w:p>
            <w:pPr>
              <w:spacing w:after="0" w:before="0"/>
            </w:pPr>
            <w:r>
              <w:rPr>
                <w:sz w:val="18"/>
              </w:rPr>
            </w:r>
            <w:r>
              <w:rPr>
                <w:b w:val="0"/>
                <w:sz w:val="18"/>
              </w:rPr>
              <w:t>Main frame. Not replaced.</w:t>
            </w:r>
          </w:p>
        </w:tc>
      </w:tr>
      <w:tr>
        <w:trPr>
          <w:cantSplit/>
        </w:trPr>
        <w:tc>
          <w:tcPr>
            <w:tcW w:type="dxa" w:w="1656"/>
            <w:vAlign w:val="top"/>
          </w:tcPr>
          <w:p>
            <w:pPr>
              <w:spacing w:after="0" w:before="0"/>
            </w:pPr>
            <w:r>
              <w:rPr>
                <w:sz w:val="18"/>
              </w:rPr>
            </w:r>
            <w:r>
              <w:rPr>
                <w:b w:val="0"/>
                <w:sz w:val="18"/>
              </w:rPr>
              <w:t>Central added layer</w:t>
            </w:r>
          </w:p>
        </w:tc>
        <w:tc>
          <w:tcPr>
            <w:tcW w:type="dxa" w:w="3168"/>
            <w:vAlign w:val="top"/>
          </w:tcPr>
          <w:p>
            <w:pPr>
              <w:spacing w:after="0" w:before="0"/>
            </w:pPr>
            <w:r>
              <w:rPr>
                <w:sz w:val="18"/>
              </w:rPr>
            </w:r>
            <w:r>
              <w:rPr>
                <w:b w:val="0"/>
                <w:sz w:val="18"/>
              </w:rPr>
              <w:t>First-perceived-wealth raider-risk deterrence: warning, guest-role conversion, intimidation, memory, rare failed attack.</w:t>
            </w:r>
          </w:p>
        </w:tc>
        <w:tc>
          <w:tcPr>
            <w:tcW w:type="dxa" w:w="3024"/>
            <w:vAlign w:val="top"/>
          </w:tcPr>
          <w:p>
            <w:pPr>
              <w:spacing w:after="0" w:before="0"/>
            </w:pPr>
            <w:r>
              <w:rPr>
                <w:sz w:val="18"/>
              </w:rPr>
            </w:r>
            <w:r>
              <w:rPr>
                <w:b w:val="0"/>
                <w:sz w:val="18"/>
              </w:rPr>
              <w:t>Compatible and testable, but direct raid proof is absent.</w:t>
            </w:r>
          </w:p>
        </w:tc>
        <w:tc>
          <w:tcPr>
            <w:tcW w:type="dxa" w:w="3024"/>
            <w:vAlign w:val="top"/>
          </w:tcPr>
          <w:p>
            <w:pPr>
              <w:spacing w:after="0" w:before="0"/>
            </w:pPr>
            <w:r>
              <w:rPr>
                <w:sz w:val="18"/>
              </w:rPr>
            </w:r>
            <w:r>
              <w:rPr>
                <w:b w:val="0"/>
                <w:sz w:val="18"/>
              </w:rPr>
              <w:t>Main new thesis layer.</w:t>
            </w:r>
          </w:p>
        </w:tc>
      </w:tr>
      <w:tr>
        <w:trPr>
          <w:cantSplit/>
        </w:trPr>
        <w:tc>
          <w:tcPr>
            <w:tcW w:type="dxa" w:w="1656"/>
            <w:vAlign w:val="top"/>
          </w:tcPr>
          <w:p>
            <w:pPr>
              <w:spacing w:after="0" w:before="0"/>
            </w:pPr>
            <w:r>
              <w:rPr>
                <w:sz w:val="18"/>
              </w:rPr>
            </w:r>
            <w:r>
              <w:rPr>
                <w:b w:val="0"/>
                <w:sz w:val="18"/>
              </w:rPr>
              <w:t>Supporting competence layer</w:t>
            </w:r>
          </w:p>
        </w:tc>
        <w:tc>
          <w:tcPr>
            <w:tcW w:type="dxa" w:w="3168"/>
            <w:vAlign w:val="top"/>
          </w:tcPr>
          <w:p>
            <w:pPr>
              <w:spacing w:after="0" w:before="0"/>
            </w:pPr>
            <w:r>
              <w:rPr>
                <w:sz w:val="18"/>
              </w:rPr>
            </w:r>
            <w:r>
              <w:rPr>
                <w:b w:val="0"/>
                <w:sz w:val="18"/>
              </w:rPr>
              <w:t>Hunting, feasting, animal danger, food processing, coordinated movement, large gatherings.</w:t>
            </w:r>
          </w:p>
        </w:tc>
        <w:tc>
          <w:tcPr>
            <w:tcW w:type="dxa" w:w="3024"/>
            <w:vAlign w:val="top"/>
          </w:tcPr>
          <w:p>
            <w:pPr>
              <w:spacing w:after="0" w:before="0"/>
            </w:pPr>
            <w:r>
              <w:rPr>
                <w:sz w:val="18"/>
              </w:rPr>
            </w:r>
            <w:r>
              <w:rPr>
                <w:b w:val="0"/>
                <w:sz w:val="18"/>
              </w:rPr>
              <w:t>Supported by fauna, aurochs hunting lesion, gazelle seasonality questions, and grinding/pounding tools.</w:t>
            </w:r>
          </w:p>
        </w:tc>
        <w:tc>
          <w:tcPr>
            <w:tcW w:type="dxa" w:w="3024"/>
            <w:vAlign w:val="top"/>
          </w:tcPr>
          <w:p>
            <w:pPr>
              <w:spacing w:after="0" w:before="0"/>
            </w:pPr>
            <w:r>
              <w:rPr>
                <w:sz w:val="18"/>
              </w:rPr>
            </w:r>
            <w:r>
              <w:rPr>
                <w:b w:val="0"/>
                <w:sz w:val="18"/>
              </w:rPr>
              <w:t>Shows competence. Does not make an animal-trap model.</w:t>
            </w:r>
          </w:p>
        </w:tc>
      </w:tr>
      <w:tr>
        <w:trPr>
          <w:cantSplit/>
        </w:trPr>
        <w:tc>
          <w:tcPr>
            <w:tcW w:type="dxa" w:w="1656"/>
            <w:vAlign w:val="top"/>
          </w:tcPr>
          <w:p>
            <w:pPr>
              <w:spacing w:after="0" w:before="0"/>
            </w:pPr>
            <w:r>
              <w:rPr>
                <w:sz w:val="18"/>
              </w:rPr>
            </w:r>
            <w:r>
              <w:rPr>
                <w:b w:val="0"/>
                <w:sz w:val="18"/>
              </w:rPr>
              <w:t>Speculative mechanisms</w:t>
            </w:r>
          </w:p>
        </w:tc>
        <w:tc>
          <w:tcPr>
            <w:tcW w:type="dxa" w:w="3168"/>
            <w:vAlign w:val="top"/>
          </w:tcPr>
          <w:p>
            <w:pPr>
              <w:spacing w:after="0" w:before="0"/>
            </w:pPr>
            <w:r>
              <w:rPr>
                <w:sz w:val="18"/>
              </w:rPr>
            </w:r>
            <w:r>
              <w:rPr>
                <w:b w:val="0"/>
                <w:sz w:val="18"/>
              </w:rPr>
              <w:t>Pantry lure, delay-and-drop, reroute, roof or upper-surface failure, predator bait, mortuary crisis roles.</w:t>
            </w:r>
          </w:p>
        </w:tc>
        <w:tc>
          <w:tcPr>
            <w:tcW w:type="dxa" w:w="3024"/>
            <w:vAlign w:val="top"/>
          </w:tcPr>
          <w:p>
            <w:pPr>
              <w:spacing w:after="0" w:before="0"/>
            </w:pPr>
            <w:r>
              <w:rPr>
                <w:sz w:val="18"/>
              </w:rPr>
            </w:r>
            <w:r>
              <w:rPr>
                <w:b w:val="0"/>
                <w:sz w:val="18"/>
              </w:rPr>
              <w:t>Unproven. Requires route, timber, repair, scatter, trauma, residue, and context testing.</w:t>
            </w:r>
          </w:p>
        </w:tc>
        <w:tc>
          <w:tcPr>
            <w:tcW w:type="dxa" w:w="3024"/>
            <w:vAlign w:val="top"/>
          </w:tcPr>
          <w:p>
            <w:pPr>
              <w:spacing w:after="0" w:before="0"/>
            </w:pPr>
            <w:r>
              <w:rPr>
                <w:sz w:val="18"/>
              </w:rPr>
            </w:r>
            <w:r>
              <w:rPr>
                <w:b w:val="0"/>
                <w:sz w:val="18"/>
              </w:rPr>
              <w:t>Mechanism proposals only.</w:t>
            </w:r>
          </w:p>
        </w:tc>
      </w:tr>
      <w:tr>
        <w:tc>
          <w:tcPr>
            <w:tcW w:type="dxa" w:w="2556"/>
          </w:tcPr>
          <w:p>
            <w:r>
              <w:t>Secondary ecological layer</w:t>
            </w:r>
          </w:p>
        </w:tc>
        <w:tc>
          <w:tcPr>
            <w:tcW w:type="dxa" w:w="2556"/>
          </w:tcPr>
          <w:p>
            <w:r>
              <w:t>Bone-fragment attractors, scavenger trace loss, suid/canid/vulture interest, and large-carnivore competitor displacement.</w:t>
            </w:r>
          </w:p>
        </w:tc>
        <w:tc>
          <w:tcPr>
            <w:tcW w:type="dxa" w:w="2556"/>
          </w:tcPr>
          <w:p>
            <w:r>
              <w:t>Plausible as scarcity ecology, but not demonstrated as a primary function.</w:t>
            </w:r>
          </w:p>
        </w:tc>
        <w:tc>
          <w:tcPr>
            <w:tcW w:type="dxa" w:w="2556"/>
          </w:tcPr>
          <w:p>
            <w:r>
              <w:t>Kept as a small support layer for trace loss and landscape risk, not as a site identity.</w:t>
            </w:r>
          </w:p>
        </w:tc>
      </w:tr>
    </w:tbl>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Version 0.88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regional stories. This is information ecology. Some signals are involuntary broadcasts of resource density: noise from processing, smoke from cooking, smells from animal bodies, visitor movement, and visible work. Others are intentional counter-signals: stone erection, carving, ritual authority, and the display of coalition capacity.</w:t>
      </w:r>
    </w:p>
    <w:p>
      <w:pPr>
        <w:spacing w:after="80" w:line="252" w:lineRule="auto"/>
      </w:pPr>
      <w:r>
        <w:t>This is a material correction to earlier wording. The target is not necessarily a hidden horde. It is the belief that a known address contains access to food, power, tools, bodies, allies, and survival advantage. Before balances, ledgers, or coin, monumentality itself can advertise organized negotiable value. A group that can raise stone persons, host feasts, process food, move animal bodies, and gather allies is broadcasting capacity. That broadcast can attract risk; the monument language can answer it by saying the group is not an easy food pile.</w:t>
      </w:r>
    </w:p>
    <w:p>
      <w:pPr/>
      <w:r>
        <w:t>The payoff need not be a grain room. It might be food during an event, tool stock, hides, dogs, vessels, access to water, exchange leverage, captives, or alliance under pressure. It might also be no payoff at all because the attempt fails. The model requires perceived opportunity and occasional attempts, not repeated successful theft.</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and it does not require successful raids.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One early incident could teach the resident group to reduce losses next time; one later spectacular failure could make the warning travel.</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next best outcome is failed attack that becomes shared warning memory. Attackers do not need to win for the system to matter. They need only try, fail, and be remembered.</w:t>
      </w:r>
    </w:p>
    <w:p>
      <w:pPr>
        <w:spacing w:after="80" w:line="252" w:lineRule="auto"/>
      </w:pPr>
      <w:r>
        <w:t>The goal is not to keep raiders. The goal is to stop raids from becoming siege, and to make the cost of attack travel farther than the attackers. A resident group learns from a dangerous attempt. The wider region learns from the story of failure. The stone falls once; the story falls many times.</w:t>
      </w:r>
    </w:p>
    <w:p>
      <w:pPr/>
      <w:r>
        <w:t>Starvation can weaken taboo and awe. The model does not require an absolute mental block. It requires a brief high-stress hesitation: a pause at a charged boundary, a glance upward, an argument between raiders, uncertainty about dogs, watchers, stones, allies, or consequence. In close asymmetric defence, a short delay can be enough for an alarm, a high-ground response, or a local deterrent to activate.</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800"/>
            <w:shd w:fill="D9EAF7"/>
          </w:tcPr>
          <w:p>
            <w:pPr>
              <w:spacing w:after="0" w:before="0"/>
            </w:pPr>
            <w:r>
              <w:rPr>
                <w:b/>
                <w:sz w:val="18"/>
              </w:rPr>
            </w:r>
            <w:r>
              <w:rPr>
                <w:b/>
                <w:sz w:val="18"/>
              </w:rPr>
              <w:t>Strand</w:t>
            </w:r>
          </w:p>
        </w:tc>
        <w:tc>
          <w:tcPr>
            <w:tcW w:type="dxa" w:w="3240"/>
            <w:shd w:fill="D9EAF7"/>
          </w:tcPr>
          <w:p>
            <w:pPr>
              <w:spacing w:after="0" w:before="0"/>
            </w:pPr>
            <w:r>
              <w:rPr>
                <w:b/>
                <w:sz w:val="18"/>
              </w:rPr>
            </w:r>
            <w:r>
              <w:rPr>
                <w:b/>
                <w:sz w:val="18"/>
              </w:rPr>
              <w:t>Anchor</w:t>
            </w:r>
          </w:p>
        </w:tc>
        <w:tc>
          <w:tcPr>
            <w:tcW w:type="dxa" w:w="2880"/>
            <w:shd w:fill="D9EAF7"/>
          </w:tcPr>
          <w:p>
            <w:pPr>
              <w:spacing w:after="0" w:before="0"/>
            </w:pPr>
            <w:r>
              <w:rPr>
                <w:b/>
                <w:sz w:val="18"/>
              </w:rPr>
            </w:r>
            <w:r>
              <w:rPr>
                <w:b/>
                <w:sz w:val="18"/>
              </w:rPr>
              <w:t>Supports</w:t>
            </w:r>
          </w:p>
        </w:tc>
        <w:tc>
          <w:tcPr>
            <w:tcW w:type="dxa" w:w="2880"/>
            <w:shd w:fill="D9EAF7"/>
          </w:tcPr>
          <w:p>
            <w:pPr>
              <w:spacing w:after="0" w:before="0"/>
            </w:pPr>
            <w:r>
              <w:rPr>
                <w:b/>
                <w:sz w:val="18"/>
              </w:rPr>
            </w:r>
            <w:r>
              <w:rPr>
                <w:b/>
                <w:sz w:val="18"/>
              </w:rPr>
              <w:t>Limit</w:t>
            </w:r>
          </w:p>
        </w:tc>
      </w:tr>
      <w:tr>
        <w:trPr>
          <w:cantSplit/>
        </w:trPr>
        <w:tc>
          <w:tcPr>
            <w:tcW w:type="dxa" w:w="1800"/>
            <w:vAlign w:val="top"/>
          </w:tcPr>
          <w:p>
            <w:pPr>
              <w:spacing w:after="0" w:before="0"/>
            </w:pPr>
            <w:r>
              <w:rPr>
                <w:sz w:val="18"/>
              </w:rPr>
            </w:r>
            <w:r>
              <w:rPr>
                <w:b w:val="0"/>
                <w:sz w:val="18"/>
              </w:rPr>
              <w:t>Architecture</w:t>
            </w:r>
          </w:p>
        </w:tc>
        <w:tc>
          <w:tcPr>
            <w:tcW w:type="dxa" w:w="3240"/>
            <w:vAlign w:val="top"/>
          </w:tcPr>
          <w:p>
            <w:pPr>
              <w:spacing w:after="0" w:before="0"/>
            </w:pPr>
            <w:r>
              <w:rPr>
                <w:sz w:val="18"/>
              </w:rPr>
            </w:r>
            <w:r>
              <w:rPr>
                <w:b w:val="0"/>
                <w:sz w:val="18"/>
              </w:rPr>
              <w:t>Round-oval buildings c. 10-20 m inner diameter; central pillars up to 5.5 m; benches and wall-set pillars. [1], [2]</w:t>
            </w:r>
          </w:p>
        </w:tc>
        <w:tc>
          <w:tcPr>
            <w:tcW w:type="dxa" w:w="2880"/>
            <w:vAlign w:val="top"/>
          </w:tcPr>
          <w:p>
            <w:pPr>
              <w:spacing w:after="0" w:before="0"/>
            </w:pPr>
            <w:r>
              <w:rPr>
                <w:sz w:val="18"/>
              </w:rPr>
            </w:r>
            <w:r>
              <w:rPr>
                <w:b w:val="0"/>
                <w:sz w:val="18"/>
              </w:rPr>
              <w:t>Gathering, visibility, route shaping, possible timber-assisted staging.</w:t>
            </w:r>
          </w:p>
        </w:tc>
        <w:tc>
          <w:tcPr>
            <w:tcW w:type="dxa" w:w="2880"/>
            <w:vAlign w:val="top"/>
          </w:tcPr>
          <w:p>
            <w:pPr>
              <w:spacing w:after="0" w:before="0"/>
            </w:pPr>
            <w:r>
              <w:rPr>
                <w:sz w:val="18"/>
              </w:rPr>
            </w:r>
            <w:r>
              <w:rPr>
                <w:b w:val="0"/>
                <w:sz w:val="18"/>
              </w:rPr>
              <w:t>Does not prove tactical use.</w:t>
            </w:r>
          </w:p>
        </w:tc>
      </w:tr>
      <w:tr>
        <w:trPr>
          <w:cantSplit/>
        </w:trPr>
        <w:tc>
          <w:tcPr>
            <w:tcW w:type="dxa" w:w="1800"/>
            <w:vAlign w:val="top"/>
          </w:tcPr>
          <w:p>
            <w:pPr>
              <w:spacing w:after="0" w:before="0"/>
            </w:pPr>
            <w:r>
              <w:rPr>
                <w:sz w:val="18"/>
              </w:rPr>
            </w:r>
            <w:r>
              <w:rPr>
                <w:b w:val="0"/>
                <w:sz w:val="18"/>
              </w:rPr>
              <w:t>Food tools</w:t>
            </w:r>
          </w:p>
        </w:tc>
        <w:tc>
          <w:tcPr>
            <w:tcW w:type="dxa" w:w="3240"/>
            <w:vAlign w:val="top"/>
          </w:tcPr>
          <w:p>
            <w:pPr>
              <w:spacing w:after="0" w:before="0"/>
            </w:pPr>
            <w:r>
              <w:rPr>
                <w:sz w:val="18"/>
              </w:rPr>
            </w:r>
            <w:r>
              <w:rPr>
                <w:b w:val="0"/>
                <w:sz w:val="18"/>
              </w:rPr>
              <w:t>More than 7000 grinding and pounding artifacts, mostly cereal-related. [2]</w:t>
            </w:r>
          </w:p>
        </w:tc>
        <w:tc>
          <w:tcPr>
            <w:tcW w:type="dxa" w:w="2880"/>
            <w:vAlign w:val="top"/>
          </w:tcPr>
          <w:p>
            <w:pPr>
              <w:spacing w:after="0" w:before="0"/>
            </w:pPr>
            <w:r>
              <w:rPr>
                <w:sz w:val="18"/>
              </w:rPr>
            </w:r>
            <w:r>
              <w:rPr>
                <w:b w:val="0"/>
                <w:sz w:val="18"/>
              </w:rPr>
              <w:t>Feasting, labour concentration, early perceived food pressure.</w:t>
            </w:r>
          </w:p>
        </w:tc>
        <w:tc>
          <w:tcPr>
            <w:tcW w:type="dxa" w:w="2880"/>
            <w:vAlign w:val="top"/>
          </w:tcPr>
          <w:p>
            <w:pPr>
              <w:spacing w:after="0" w:before="0"/>
            </w:pPr>
            <w:r>
              <w:rPr>
                <w:sz w:val="18"/>
              </w:rPr>
            </w:r>
            <w:r>
              <w:rPr>
                <w:b w:val="0"/>
                <w:sz w:val="18"/>
              </w:rPr>
              <w:t>Large stores not identified in that study.</w:t>
            </w:r>
          </w:p>
        </w:tc>
      </w:tr>
      <w:tr>
        <w:trPr>
          <w:cantSplit/>
        </w:trPr>
        <w:tc>
          <w:tcPr>
            <w:tcW w:type="dxa" w:w="1800"/>
            <w:vAlign w:val="top"/>
          </w:tcPr>
          <w:p>
            <w:pPr>
              <w:spacing w:after="0" w:before="0"/>
            </w:pPr>
            <w:r>
              <w:rPr>
                <w:sz w:val="18"/>
              </w:rPr>
            </w:r>
            <w:r>
              <w:rPr>
                <w:b w:val="0"/>
                <w:sz w:val="18"/>
              </w:rPr>
              <w:t>Fauna and hunting</w:t>
            </w:r>
          </w:p>
        </w:tc>
        <w:tc>
          <w:tcPr>
            <w:tcW w:type="dxa" w:w="3240"/>
            <w:vAlign w:val="top"/>
          </w:tcPr>
          <w:p>
            <w:pPr>
              <w:spacing w:after="0" w:before="0"/>
            </w:pPr>
            <w:r>
              <w:rPr>
                <w:sz w:val="18"/>
              </w:rPr>
            </w:r>
            <w:r>
              <w:rPr>
                <w:b w:val="0"/>
                <w:sz w:val="18"/>
              </w:rPr>
              <w:t>Gazelle, aurochs, wild ass, boar, wild sheep/mouflon, fox; aurochs hunting lesion. [3], [4], [7], [8]</w:t>
            </w:r>
          </w:p>
        </w:tc>
        <w:tc>
          <w:tcPr>
            <w:tcW w:type="dxa" w:w="2880"/>
            <w:vAlign w:val="top"/>
          </w:tcPr>
          <w:p>
            <w:pPr>
              <w:spacing w:after="0" w:before="0"/>
            </w:pPr>
            <w:r>
              <w:rPr>
                <w:sz w:val="18"/>
              </w:rPr>
            </w:r>
            <w:r>
              <w:rPr>
                <w:b w:val="0"/>
                <w:sz w:val="18"/>
              </w:rPr>
              <w:t>Hunt and feast competence; dangerous body handling.</w:t>
            </w:r>
          </w:p>
        </w:tc>
        <w:tc>
          <w:tcPr>
            <w:tcW w:type="dxa" w:w="2880"/>
            <w:vAlign w:val="top"/>
          </w:tcPr>
          <w:p>
            <w:pPr>
              <w:spacing w:after="0" w:before="0"/>
            </w:pPr>
            <w:r>
              <w:rPr>
                <w:sz w:val="18"/>
              </w:rPr>
            </w:r>
            <w:r>
              <w:rPr>
                <w:b w:val="0"/>
                <w:sz w:val="18"/>
              </w:rPr>
              <w:t>Hunt evidence, not raid evidence.</w:t>
            </w:r>
          </w:p>
        </w:tc>
      </w:tr>
      <w:tr>
        <w:trPr>
          <w:cantSplit/>
        </w:trPr>
        <w:tc>
          <w:tcPr>
            <w:tcW w:type="dxa" w:w="1800"/>
            <w:vAlign w:val="top"/>
          </w:tcPr>
          <w:p>
            <w:pPr>
              <w:spacing w:after="0" w:before="0"/>
            </w:pPr>
            <w:r>
              <w:rPr>
                <w:sz w:val="18"/>
              </w:rPr>
            </w:r>
            <w:r>
              <w:rPr>
                <w:b w:val="0"/>
                <w:sz w:val="18"/>
              </w:rPr>
              <w:t>Human remains</w:t>
            </w:r>
          </w:p>
        </w:tc>
        <w:tc>
          <w:tcPr>
            <w:tcW w:type="dxa" w:w="3240"/>
            <w:vAlign w:val="top"/>
          </w:tcPr>
          <w:p>
            <w:pPr>
              <w:spacing w:after="0" w:before="0"/>
            </w:pPr>
            <w:r>
              <w:rPr>
                <w:sz w:val="18"/>
              </w:rPr>
            </w:r>
            <w:r>
              <w:rPr>
                <w:b w:val="0"/>
                <w:sz w:val="18"/>
              </w:rPr>
              <w:t>Modified skull fragments and scattered human bone in fill contexts. [5], [6]</w:t>
            </w:r>
          </w:p>
        </w:tc>
        <w:tc>
          <w:tcPr>
            <w:tcW w:type="dxa" w:w="2880"/>
            <w:vAlign w:val="top"/>
          </w:tcPr>
          <w:p>
            <w:pPr>
              <w:spacing w:after="0" w:before="0"/>
            </w:pPr>
            <w:r>
              <w:rPr>
                <w:sz w:val="18"/>
              </w:rPr>
            </w:r>
            <w:r>
              <w:rPr>
                <w:b w:val="0"/>
                <w:sz w:val="18"/>
              </w:rPr>
              <w:t>Death practice, memory, trace loss, mortuary ambiguity.</w:t>
            </w:r>
          </w:p>
        </w:tc>
        <w:tc>
          <w:tcPr>
            <w:tcW w:type="dxa" w:w="2880"/>
            <w:vAlign w:val="top"/>
          </w:tcPr>
          <w:p>
            <w:pPr>
              <w:spacing w:after="0" w:before="0"/>
            </w:pPr>
            <w:r>
              <w:rPr>
                <w:sz w:val="18"/>
              </w:rPr>
            </w:r>
            <w:r>
              <w:rPr>
                <w:b w:val="0"/>
                <w:sz w:val="18"/>
              </w:rPr>
              <w:t>Does not prove raid, siege, or conspecific consumption.</w:t>
            </w:r>
          </w:p>
        </w:tc>
      </w:tr>
      <w:tr>
        <w:trPr>
          <w:cantSplit/>
        </w:trPr>
        <w:tc>
          <w:tcPr>
            <w:tcW w:type="dxa" w:w="1800"/>
            <w:vAlign w:val="top"/>
          </w:tcPr>
          <w:p>
            <w:pPr>
              <w:spacing w:after="0" w:before="0"/>
            </w:pPr>
            <w:r>
              <w:rPr>
                <w:sz w:val="18"/>
              </w:rPr>
            </w:r>
            <w:r>
              <w:rPr>
                <w:b w:val="0"/>
                <w:sz w:val="18"/>
              </w:rPr>
              <w:t>Conflict background</w:t>
            </w:r>
          </w:p>
        </w:tc>
        <w:tc>
          <w:tcPr>
            <w:tcW w:type="dxa" w:w="3240"/>
            <w:vAlign w:val="top"/>
          </w:tcPr>
          <w:p>
            <w:pPr>
              <w:spacing w:after="0" w:before="0"/>
            </w:pPr>
            <w:r>
              <w:rPr>
                <w:sz w:val="18"/>
              </w:rPr>
            </w:r>
            <w:r>
              <w:rPr>
                <w:b w:val="0"/>
                <w:sz w:val="18"/>
              </w:rPr>
              <w:t>Kortik Tepe discussion notes interpersonal violence and conflict mitigation, with limited intergroup proxies. [9]</w:t>
            </w:r>
          </w:p>
        </w:tc>
        <w:tc>
          <w:tcPr>
            <w:tcW w:type="dxa" w:w="2880"/>
            <w:vAlign w:val="top"/>
          </w:tcPr>
          <w:p>
            <w:pPr>
              <w:spacing w:after="0" w:before="0"/>
            </w:pPr>
            <w:r>
              <w:rPr>
                <w:sz w:val="18"/>
              </w:rPr>
            </w:r>
            <w:r>
              <w:rPr>
                <w:b w:val="0"/>
                <w:sz w:val="18"/>
              </w:rPr>
              <w:t>Regional social heat and need for mitigation.</w:t>
            </w:r>
          </w:p>
        </w:tc>
        <w:tc>
          <w:tcPr>
            <w:tcW w:type="dxa" w:w="2880"/>
            <w:vAlign w:val="top"/>
          </w:tcPr>
          <w:p>
            <w:pPr>
              <w:spacing w:after="0" w:before="0"/>
            </w:pPr>
            <w:r>
              <w:rPr>
                <w:sz w:val="18"/>
              </w:rPr>
            </w:r>
            <w:r>
              <w:rPr>
                <w:b w:val="0"/>
                <w:sz w:val="18"/>
              </w:rPr>
              <w:t>Indirect comparison only.</w:t>
            </w:r>
          </w:p>
        </w:tc>
      </w:tr>
      <w:tr>
        <w:trPr>
          <w:cantSplit/>
        </w:trPr>
        <w:tc>
          <w:tcPr>
            <w:tcW w:type="dxa" w:w="1800"/>
            <w:vAlign w:val="top"/>
          </w:tcPr>
          <w:p>
            <w:pPr>
              <w:spacing w:after="0" w:before="0"/>
            </w:pPr>
            <w:r>
              <w:rPr>
                <w:sz w:val="18"/>
              </w:rPr>
            </w:r>
            <w:r>
              <w:rPr>
                <w:b w:val="0"/>
                <w:sz w:val="18"/>
              </w:rPr>
              <w:t>Stratigraphy and fill</w:t>
            </w:r>
          </w:p>
        </w:tc>
        <w:tc>
          <w:tcPr>
            <w:tcW w:type="dxa" w:w="3240"/>
            <w:vAlign w:val="top"/>
          </w:tcPr>
          <w:p>
            <w:pPr>
              <w:spacing w:after="0" w:before="0"/>
            </w:pPr>
            <w:r>
              <w:rPr>
                <w:sz w:val="18"/>
              </w:rPr>
            </w:r>
            <w:r>
              <w:rPr>
                <w:b w:val="0"/>
                <w:sz w:val="18"/>
              </w:rPr>
              <w:t>Built-on-rock work stresses complex mound formation, slope processes, repairs, and revision of older fill assumptions. [10]</w:t>
            </w:r>
          </w:p>
        </w:tc>
        <w:tc>
          <w:tcPr>
            <w:tcW w:type="dxa" w:w="2880"/>
            <w:vAlign w:val="top"/>
          </w:tcPr>
          <w:p>
            <w:pPr>
              <w:spacing w:after="0" w:before="0"/>
            </w:pPr>
            <w:r>
              <w:rPr>
                <w:sz w:val="18"/>
              </w:rPr>
            </w:r>
            <w:r>
              <w:rPr>
                <w:b w:val="0"/>
                <w:sz w:val="18"/>
              </w:rPr>
              <w:t>Need for sequence, route, and repair testing.</w:t>
            </w:r>
          </w:p>
        </w:tc>
        <w:tc>
          <w:tcPr>
            <w:tcW w:type="dxa" w:w="2880"/>
            <w:vAlign w:val="top"/>
          </w:tcPr>
          <w:p>
            <w:pPr>
              <w:spacing w:after="0" w:before="0"/>
            </w:pPr>
            <w:r>
              <w:rPr>
                <w:sz w:val="18"/>
              </w:rPr>
            </w:r>
            <w:r>
              <w:rPr>
                <w:b w:val="0"/>
                <w:sz w:val="18"/>
              </w:rPr>
              <w:t>Moved material can mimic tactical traces.</w:t>
            </w:r>
          </w:p>
        </w:tc>
      </w:tr>
    </w:tbl>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592"/>
            <w:shd w:fill="D9EAF7"/>
          </w:tcPr>
          <w:p>
            <w:pPr>
              <w:spacing w:after="0" w:before="0"/>
            </w:pPr>
            <w:r>
              <w:rPr>
                <w:b/>
                <w:sz w:val="18"/>
              </w:rPr>
            </w:r>
            <w:r>
              <w:rPr>
                <w:b/>
                <w:sz w:val="18"/>
              </w:rPr>
              <w:t>Feature model</w:t>
            </w:r>
          </w:p>
        </w:tc>
        <w:tc>
          <w:tcPr>
            <w:tcW w:type="dxa" w:w="4176"/>
            <w:shd w:fill="D9EAF7"/>
          </w:tcPr>
          <w:p>
            <w:pPr>
              <w:spacing w:after="0" w:before="0"/>
            </w:pPr>
            <w:r>
              <w:rPr>
                <w:b/>
                <w:sz w:val="18"/>
              </w:rPr>
            </w:r>
            <w:r>
              <w:rPr>
                <w:b/>
                <w:sz w:val="18"/>
              </w:rPr>
              <w:t>Example scale</w:t>
            </w:r>
          </w:p>
        </w:tc>
        <w:tc>
          <w:tcPr>
            <w:tcW w:type="dxa" w:w="3744"/>
            <w:shd w:fill="D9EAF7"/>
          </w:tcPr>
          <w:p>
            <w:pPr>
              <w:spacing w:after="0" w:before="0"/>
            </w:pPr>
            <w:r>
              <w:rPr>
                <w:b/>
                <w:sz w:val="18"/>
              </w:rPr>
            </w:r>
            <w:r>
              <w:rPr>
                <w:b/>
                <w:sz w:val="18"/>
              </w:rPr>
              <w:t>Interpretive use</w:t>
            </w:r>
          </w:p>
        </w:tc>
      </w:tr>
      <w:tr>
        <w:trPr>
          <w:cantSplit/>
        </w:trPr>
        <w:tc>
          <w:tcPr>
            <w:tcW w:type="dxa" w:w="2592"/>
            <w:vAlign w:val="top"/>
          </w:tcPr>
          <w:p>
            <w:pPr>
              <w:spacing w:after="0" w:before="0"/>
            </w:pPr>
            <w:r>
              <w:rPr>
                <w:sz w:val="18"/>
              </w:rPr>
            </w:r>
            <w:r>
              <w:rPr>
                <w:b w:val="0"/>
                <w:sz w:val="18"/>
              </w:rPr>
              <w:t>Circular enclosure area</w:t>
            </w:r>
          </w:p>
        </w:tc>
        <w:tc>
          <w:tcPr>
            <w:tcW w:type="dxa" w:w="4176"/>
            <w:vAlign w:val="top"/>
          </w:tcPr>
          <w:p>
            <w:pPr>
              <w:spacing w:after="0" w:before="0"/>
            </w:pPr>
            <w:r>
              <w:rPr>
                <w:sz w:val="18"/>
              </w:rPr>
            </w:r>
            <w:r>
              <w:rPr>
                <w:b w:val="0"/>
                <w:sz w:val="18"/>
              </w:rPr>
              <w:t>10 m diameter: c. 78.5 m2; 15 m: c. 176.7 m2; 20 m: c. 314.2 m2.</w:t>
            </w:r>
          </w:p>
        </w:tc>
        <w:tc>
          <w:tcPr>
            <w:tcW w:type="dxa" w:w="3744"/>
            <w:vAlign w:val="top"/>
          </w:tcPr>
          <w:p>
            <w:pPr>
              <w:spacing w:after="0" w:before="0"/>
            </w:pPr>
            <w:r>
              <w:rPr>
                <w:sz w:val="18"/>
              </w:rPr>
            </w:r>
            <w:r>
              <w:rPr>
                <w:b w:val="0"/>
                <w:sz w:val="18"/>
              </w:rPr>
              <w:t>Gathering scale, not animal-trap proof.</w:t>
            </w:r>
          </w:p>
        </w:tc>
      </w:tr>
      <w:tr>
        <w:trPr>
          <w:cantSplit/>
        </w:trPr>
        <w:tc>
          <w:tcPr>
            <w:tcW w:type="dxa" w:w="2592"/>
            <w:vAlign w:val="top"/>
          </w:tcPr>
          <w:p>
            <w:pPr>
              <w:spacing w:after="0" w:before="0"/>
            </w:pPr>
            <w:r>
              <w:rPr>
                <w:sz w:val="18"/>
              </w:rPr>
            </w:r>
            <w:r>
              <w:rPr>
                <w:b w:val="0"/>
                <w:sz w:val="18"/>
              </w:rPr>
              <w:t>Workable gathering capacity</w:t>
            </w:r>
          </w:p>
        </w:tc>
        <w:tc>
          <w:tcPr>
            <w:tcW w:type="dxa" w:w="4176"/>
            <w:vAlign w:val="top"/>
          </w:tcPr>
          <w:p>
            <w:pPr>
              <w:spacing w:after="0" w:before="0"/>
            </w:pPr>
            <w:r>
              <w:rPr>
                <w:sz w:val="18"/>
              </w:rPr>
            </w:r>
            <w:r>
              <w:rPr>
                <w:b w:val="0"/>
                <w:sz w:val="18"/>
              </w:rPr>
              <w:t>At 1.5 m2 per person: c. 52, 118, or 209 people for 10, 15, or 20 m diameter.</w:t>
            </w:r>
          </w:p>
        </w:tc>
        <w:tc>
          <w:tcPr>
            <w:tcW w:type="dxa" w:w="3744"/>
            <w:vAlign w:val="top"/>
          </w:tcPr>
          <w:p>
            <w:pPr>
              <w:spacing w:after="0" w:before="0"/>
            </w:pPr>
            <w:r>
              <w:rPr>
                <w:sz w:val="18"/>
              </w:rPr>
            </w:r>
            <w:r>
              <w:rPr>
                <w:b w:val="0"/>
                <w:sz w:val="18"/>
              </w:rPr>
              <w:t>Event and witness capacity, depending on layout.</w:t>
            </w:r>
          </w:p>
        </w:tc>
      </w:tr>
      <w:tr>
        <w:trPr>
          <w:cantSplit/>
        </w:trPr>
        <w:tc>
          <w:tcPr>
            <w:tcW w:type="dxa" w:w="2592"/>
            <w:vAlign w:val="top"/>
          </w:tcPr>
          <w:p>
            <w:pPr>
              <w:spacing w:after="0" w:before="0"/>
            </w:pPr>
            <w:r>
              <w:rPr>
                <w:sz w:val="18"/>
              </w:rPr>
            </w:r>
            <w:r>
              <w:rPr>
                <w:b w:val="0"/>
                <w:sz w:val="18"/>
              </w:rPr>
              <w:t>Narrow approach queue</w:t>
            </w:r>
          </w:p>
        </w:tc>
        <w:tc>
          <w:tcPr>
            <w:tcW w:type="dxa" w:w="4176"/>
            <w:vAlign w:val="top"/>
          </w:tcPr>
          <w:p>
            <w:pPr>
              <w:spacing w:after="0" w:before="0"/>
            </w:pPr>
            <w:r>
              <w:rPr>
                <w:sz w:val="18"/>
              </w:rPr>
            </w:r>
            <w:r>
              <w:rPr>
                <w:b w:val="0"/>
                <w:sz w:val="18"/>
              </w:rPr>
              <w:t>5 m x 1.2 m can hold roughly 6-10 bunched people.</w:t>
            </w:r>
          </w:p>
        </w:tc>
        <w:tc>
          <w:tcPr>
            <w:tcW w:type="dxa" w:w="3744"/>
            <w:vAlign w:val="top"/>
          </w:tcPr>
          <w:p>
            <w:pPr>
              <w:spacing w:after="0" w:before="0"/>
            </w:pPr>
            <w:r>
              <w:rPr>
                <w:sz w:val="18"/>
              </w:rPr>
            </w:r>
            <w:r>
              <w:rPr>
                <w:b w:val="0"/>
                <w:sz w:val="18"/>
              </w:rPr>
              <w:t>Tests delay-and-drop logic at a threshold.</w:t>
            </w:r>
          </w:p>
        </w:tc>
      </w:tr>
      <w:tr>
        <w:trPr>
          <w:cantSplit/>
        </w:trPr>
        <w:tc>
          <w:tcPr>
            <w:tcW w:type="dxa" w:w="2592"/>
            <w:vAlign w:val="top"/>
          </w:tcPr>
          <w:p>
            <w:pPr>
              <w:spacing w:after="0" w:before="0"/>
            </w:pPr>
            <w:r>
              <w:rPr>
                <w:sz w:val="18"/>
              </w:rPr>
            </w:r>
            <w:r>
              <w:rPr>
                <w:b w:val="0"/>
                <w:sz w:val="18"/>
              </w:rPr>
              <w:t>Drop or blockage strip</w:t>
            </w:r>
          </w:p>
        </w:tc>
        <w:tc>
          <w:tcPr>
            <w:tcW w:type="dxa" w:w="4176"/>
            <w:vAlign w:val="top"/>
          </w:tcPr>
          <w:p>
            <w:pPr>
              <w:spacing w:after="0" w:before="0"/>
            </w:pPr>
            <w:r>
              <w:rPr>
                <w:sz w:val="18"/>
              </w:rPr>
            </w:r>
            <w:r>
              <w:rPr>
                <w:b w:val="0"/>
                <w:sz w:val="18"/>
              </w:rPr>
              <w:t>4 m x 1 m can affect a front cluster.</w:t>
            </w:r>
          </w:p>
        </w:tc>
        <w:tc>
          <w:tcPr>
            <w:tcW w:type="dxa" w:w="3744"/>
            <w:vAlign w:val="top"/>
          </w:tcPr>
          <w:p>
            <w:pPr>
              <w:spacing w:after="0" w:before="0"/>
            </w:pPr>
            <w:r>
              <w:rPr>
                <w:sz w:val="18"/>
              </w:rPr>
            </w:r>
            <w:r>
              <w:rPr>
                <w:b w:val="0"/>
                <w:sz w:val="18"/>
              </w:rPr>
              <w:t>Small raiding-party scale, not mass battle scale.</w:t>
            </w:r>
          </w:p>
        </w:tc>
      </w:tr>
      <w:tr>
        <w:trPr>
          <w:cantSplit/>
        </w:trPr>
        <w:tc>
          <w:tcPr>
            <w:tcW w:type="dxa" w:w="2592"/>
            <w:vAlign w:val="top"/>
          </w:tcPr>
          <w:p>
            <w:pPr>
              <w:spacing w:after="0" w:before="0"/>
            </w:pPr>
            <w:r>
              <w:rPr>
                <w:sz w:val="18"/>
              </w:rPr>
            </w:r>
            <w:r>
              <w:rPr>
                <w:b w:val="0"/>
                <w:sz w:val="18"/>
              </w:rPr>
              <w:t>Pantry-like barrier</w:t>
            </w:r>
          </w:p>
        </w:tc>
        <w:tc>
          <w:tcPr>
            <w:tcW w:type="dxa" w:w="4176"/>
            <w:vAlign w:val="top"/>
          </w:tcPr>
          <w:p>
            <w:pPr>
              <w:spacing w:before="0" w:after="0"/>
            </w:pPr>
            <w:r>
              <w:rPr>
                <w:sz w:val="18"/>
              </w:rPr>
              <w:t>Hypothetical robust but porous barrier: visible or scent-linked reward with slow access.</w:t>
            </w:r>
          </w:p>
        </w:tc>
        <w:tc>
          <w:tcPr>
            <w:tcW w:type="dxa" w:w="3744"/>
            <w:vAlign w:val="top"/>
          </w:tcPr>
          <w:p>
            <w:pPr>
              <w:spacing w:before="0" w:after="0"/>
            </w:pPr>
            <w:r>
              <w:rPr>
                <w:sz w:val="18"/>
              </w:rPr>
              <w:t>Affordance test only. Could create delay, attention lock, and bunching if placed in a route that cannot simply be bypassed.</w:t>
            </w:r>
          </w:p>
        </w:tc>
      </w:tr>
    </w:tbl>
    <w:p>
      <w:pPr>
        <w:pStyle w:val="Heading1"/>
        <w:spacing w:before="120" w:after="80"/>
      </w:pPr>
      <w:r>
        <w:t>10. Store, pit, bone, and perceived-value scale checks</w:t>
      </w:r>
    </w:p>
    <w:p>
      <w:pPr>
        <w:spacing w:after="80" w:line="252" w:lineRule="auto"/>
      </w:pPr>
      <w:r>
        <w:t>The scale checks below are retained as affordance tests and maximums, not as claims that these specific storage, trap, water, or pantry features are demonstrated at Gobekli Tepe. They ask what relatively small volumes could mean if confirmed in the right context. They also help bound the perceived-value problem: even small concentrations of food, tools, bone, water, hides, or vessels can look life-saving to an outgroup under seasonal stress.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944"/>
            <w:shd w:fill="D9EAF7"/>
          </w:tcPr>
          <w:p>
            <w:pPr>
              <w:spacing w:after="0" w:before="0"/>
            </w:pPr>
            <w:r>
              <w:rPr>
                <w:b/>
                <w:sz w:val="18"/>
              </w:rPr>
            </w:r>
            <w:r>
              <w:rPr>
                <w:b/>
                <w:sz w:val="18"/>
              </w:rPr>
              <w:t>Quantity</w:t>
            </w:r>
          </w:p>
        </w:tc>
        <w:tc>
          <w:tcPr>
            <w:tcW w:type="dxa" w:w="3240"/>
            <w:shd w:fill="D9EAF7"/>
          </w:tcPr>
          <w:p>
            <w:pPr>
              <w:spacing w:after="0" w:before="0"/>
            </w:pPr>
            <w:r>
              <w:rPr>
                <w:b/>
                <w:sz w:val="18"/>
              </w:rPr>
            </w:r>
            <w:r>
              <w:rPr>
                <w:b/>
                <w:sz w:val="18"/>
              </w:rPr>
              <w:t>Scale check</w:t>
            </w:r>
          </w:p>
        </w:tc>
        <w:tc>
          <w:tcPr>
            <w:tcW w:type="dxa" w:w="3096"/>
            <w:shd w:fill="D9EAF7"/>
          </w:tcPr>
          <w:p>
            <w:pPr>
              <w:spacing w:after="0" w:before="0"/>
            </w:pPr>
            <w:r>
              <w:rPr>
                <w:b/>
                <w:sz w:val="18"/>
              </w:rPr>
            </w:r>
            <w:r>
              <w:rPr>
                <w:b/>
                <w:sz w:val="18"/>
              </w:rPr>
              <w:t>Interpretive value</w:t>
            </w:r>
          </w:p>
        </w:tc>
        <w:tc>
          <w:tcPr>
            <w:tcW w:type="dxa" w:w="2520"/>
            <w:shd w:fill="D9EAF7"/>
          </w:tcPr>
          <w:p>
            <w:pPr>
              <w:spacing w:after="0" w:before="0"/>
            </w:pPr>
            <w:r>
              <w:rPr>
                <w:b/>
                <w:sz w:val="18"/>
              </w:rPr>
            </w:r>
            <w:r>
              <w:rPr>
                <w:b/>
                <w:sz w:val="18"/>
              </w:rPr>
              <w:t>Data needed</w:t>
            </w:r>
          </w:p>
        </w:tc>
      </w:tr>
      <w:tr>
        <w:trPr>
          <w:cantSplit/>
        </w:trPr>
        <w:tc>
          <w:tcPr>
            <w:tcW w:type="dxa" w:w="1944"/>
            <w:vAlign w:val="top"/>
          </w:tcPr>
          <w:p>
            <w:pPr>
              <w:spacing w:after="0" w:before="0"/>
            </w:pPr>
            <w:r>
              <w:rPr>
                <w:sz w:val="18"/>
              </w:rPr>
            </w:r>
            <w:r>
              <w:rPr>
                <w:b w:val="0"/>
                <w:sz w:val="18"/>
              </w:rPr>
              <w:t>Dry cereal potential</w:t>
            </w:r>
          </w:p>
        </w:tc>
        <w:tc>
          <w:tcPr>
            <w:tcW w:type="dxa" w:w="3240"/>
            <w:vAlign w:val="top"/>
          </w:tcPr>
          <w:p>
            <w:pPr>
              <w:spacing w:after="0" w:before="0"/>
            </w:pPr>
            <w:r>
              <w:rPr>
                <w:sz w:val="18"/>
              </w:rPr>
            </w:r>
            <w:r>
              <w:rPr>
                <w:b w:val="0"/>
                <w:sz w:val="18"/>
              </w:rPr>
              <w:t>Modern cereal density of c. 700-800 kg/m3 and c. 3400 kcal/kg means 1 m3 can represent around 2.4-2.7 million kcal.</w:t>
            </w:r>
          </w:p>
        </w:tc>
        <w:tc>
          <w:tcPr>
            <w:tcW w:type="dxa" w:w="3096"/>
            <w:vAlign w:val="top"/>
          </w:tcPr>
          <w:p>
            <w:pPr>
              <w:spacing w:before="0" w:after="0"/>
            </w:pPr>
            <w:r>
              <w:rPr>
                <w:sz w:val="18"/>
              </w:rPr>
              <w:t>Affordance maximum: shows why modest food volumes could matter if confirmed. Does not prove storage or raid target.</w:t>
            </w:r>
          </w:p>
        </w:tc>
        <w:tc>
          <w:tcPr>
            <w:tcW w:type="dxa" w:w="2520"/>
            <w:vAlign w:val="top"/>
          </w:tcPr>
          <w:p>
            <w:pPr>
              <w:spacing w:after="0" w:before="0"/>
            </w:pPr>
            <w:r>
              <w:rPr>
                <w:sz w:val="18"/>
              </w:rPr>
            </w:r>
            <w:r>
              <w:rPr>
                <w:b w:val="0"/>
                <w:sz w:val="18"/>
              </w:rPr>
              <w:t>Actual storage features, residues, phytoliths, vessel or pit volumes.</w:t>
            </w:r>
          </w:p>
        </w:tc>
      </w:tr>
      <w:tr>
        <w:trPr>
          <w:cantSplit/>
        </w:trPr>
        <w:tc>
          <w:tcPr>
            <w:tcW w:type="dxa" w:w="1944"/>
            <w:vAlign w:val="top"/>
          </w:tcPr>
          <w:p>
            <w:pPr>
              <w:spacing w:after="0" w:before="0"/>
            </w:pPr>
            <w:r>
              <w:rPr>
                <w:sz w:val="18"/>
              </w:rPr>
            </w:r>
            <w:r>
              <w:rPr>
                <w:b w:val="0"/>
                <w:sz w:val="18"/>
              </w:rPr>
              <w:t>Small pit volume</w:t>
            </w:r>
          </w:p>
        </w:tc>
        <w:tc>
          <w:tcPr>
            <w:tcW w:type="dxa" w:w="3240"/>
            <w:vAlign w:val="top"/>
          </w:tcPr>
          <w:p>
            <w:pPr>
              <w:spacing w:after="0" w:before="0"/>
            </w:pPr>
            <w:r>
              <w:rPr>
                <w:sz w:val="18"/>
              </w:rPr>
            </w:r>
            <w:r>
              <w:rPr>
                <w:b w:val="0"/>
                <w:sz w:val="18"/>
              </w:rPr>
              <w:t>Cylinder, diameter 2 m, depth 1 m: c. 3.1 m3.</w:t>
            </w:r>
          </w:p>
        </w:tc>
        <w:tc>
          <w:tcPr>
            <w:tcW w:type="dxa" w:w="3096"/>
            <w:vAlign w:val="top"/>
          </w:tcPr>
          <w:p>
            <w:pPr>
              <w:spacing w:before="0" w:after="0"/>
            </w:pPr>
            <w:r>
              <w:rPr>
                <w:sz w:val="18"/>
              </w:rPr>
              <w:t>Affordance maximum only. Could matter for storage, fill, water, or later reuse if field context supports it.</w:t>
            </w:r>
          </w:p>
        </w:tc>
        <w:tc>
          <w:tcPr>
            <w:tcW w:type="dxa" w:w="2520"/>
            <w:vAlign w:val="top"/>
          </w:tcPr>
          <w:p>
            <w:pPr>
              <w:spacing w:after="0" w:before="0"/>
            </w:pPr>
            <w:r>
              <w:rPr>
                <w:sz w:val="18"/>
              </w:rPr>
            </w:r>
            <w:r>
              <w:rPr>
                <w:b w:val="0"/>
                <w:sz w:val="18"/>
              </w:rPr>
              <w:t>Mapped dimensions, deposits, access, sealing, sediment history.</w:t>
            </w:r>
          </w:p>
        </w:tc>
      </w:tr>
      <w:tr>
        <w:trPr>
          <w:cantSplit/>
        </w:trPr>
        <w:tc>
          <w:tcPr>
            <w:tcW w:type="dxa" w:w="1944"/>
            <w:vAlign w:val="top"/>
          </w:tcPr>
          <w:p>
            <w:pPr>
              <w:spacing w:after="0" w:before="0"/>
            </w:pPr>
            <w:r>
              <w:rPr>
                <w:sz w:val="18"/>
              </w:rPr>
            </w:r>
            <w:r>
              <w:rPr>
                <w:b w:val="0"/>
                <w:sz w:val="18"/>
              </w:rPr>
              <w:t>Medium pit volume</w:t>
            </w:r>
          </w:p>
        </w:tc>
        <w:tc>
          <w:tcPr>
            <w:tcW w:type="dxa" w:w="3240"/>
            <w:vAlign w:val="top"/>
          </w:tcPr>
          <w:p>
            <w:pPr>
              <w:spacing w:after="0" w:before="0"/>
            </w:pPr>
            <w:r>
              <w:rPr>
                <w:sz w:val="18"/>
              </w:rPr>
            </w:r>
            <w:r>
              <w:rPr>
                <w:b w:val="0"/>
                <w:sz w:val="18"/>
              </w:rPr>
              <w:t>Diameter 4 m, depth 1.5 m: c. 18.8 m3.</w:t>
            </w:r>
          </w:p>
        </w:tc>
        <w:tc>
          <w:tcPr>
            <w:tcW w:type="dxa" w:w="3096"/>
            <w:vAlign w:val="top"/>
          </w:tcPr>
          <w:p>
            <w:pPr>
              <w:spacing w:before="0" w:after="0"/>
            </w:pPr>
            <w:r>
              <w:rPr>
                <w:sz w:val="18"/>
              </w:rPr>
              <w:t>Affordance maximum only. Large enough to require interpretation if present, but not evidence of a defensive earthwork.</w:t>
            </w:r>
          </w:p>
        </w:tc>
        <w:tc>
          <w:tcPr>
            <w:tcW w:type="dxa" w:w="2520"/>
            <w:vAlign w:val="top"/>
          </w:tcPr>
          <w:p>
            <w:pPr>
              <w:spacing w:after="0" w:before="0"/>
            </w:pPr>
            <w:r>
              <w:rPr>
                <w:sz w:val="18"/>
              </w:rPr>
            </w:r>
            <w:r>
              <w:rPr>
                <w:b w:val="0"/>
                <w:sz w:val="18"/>
              </w:rPr>
              <w:t>Field dimensions, deposits, approach, fill sequence.</w:t>
            </w:r>
          </w:p>
        </w:tc>
      </w:tr>
      <w:tr>
        <w:trPr>
          <w:cantSplit/>
        </w:trPr>
        <w:tc>
          <w:tcPr>
            <w:tcW w:type="dxa" w:w="1944"/>
            <w:vAlign w:val="top"/>
          </w:tcPr>
          <w:p>
            <w:pPr>
              <w:spacing w:after="0" w:before="0"/>
            </w:pPr>
            <w:r>
              <w:rPr>
                <w:sz w:val="18"/>
              </w:rPr>
            </w:r>
            <w:r>
              <w:rPr>
                <w:b w:val="0"/>
                <w:sz w:val="18"/>
              </w:rPr>
              <w:t>Large animal handling</w:t>
            </w:r>
          </w:p>
        </w:tc>
        <w:tc>
          <w:tcPr>
            <w:tcW w:type="dxa" w:w="3240"/>
            <w:vAlign w:val="top"/>
          </w:tcPr>
          <w:p>
            <w:pPr>
              <w:spacing w:after="0" w:before="0"/>
            </w:pPr>
            <w:r>
              <w:rPr>
                <w:sz w:val="18"/>
              </w:rPr>
            </w:r>
            <w:r>
              <w:rPr>
                <w:b w:val="0"/>
                <w:sz w:val="18"/>
              </w:rPr>
              <w:t>One aurochs or several gazelle can supply feast-scale meat and bone.</w:t>
            </w:r>
          </w:p>
        </w:tc>
        <w:tc>
          <w:tcPr>
            <w:tcW w:type="dxa" w:w="3096"/>
            <w:vAlign w:val="top"/>
          </w:tcPr>
          <w:p>
            <w:pPr>
              <w:spacing w:after="0" w:before="0"/>
            </w:pPr>
            <w:r>
              <w:rPr>
                <w:sz w:val="18"/>
              </w:rPr>
            </w:r>
            <w:r>
              <w:rPr>
                <w:b w:val="0"/>
                <w:sz w:val="18"/>
              </w:rPr>
              <w:t>Supports hunt/feast competence before raider-risk.</w:t>
            </w:r>
          </w:p>
        </w:tc>
        <w:tc>
          <w:tcPr>
            <w:tcW w:type="dxa" w:w="2520"/>
            <w:vAlign w:val="top"/>
          </w:tcPr>
          <w:p>
            <w:pPr>
              <w:spacing w:after="0" w:before="0"/>
            </w:pPr>
            <w:r>
              <w:rPr>
                <w:sz w:val="18"/>
              </w:rPr>
            </w:r>
            <w:r>
              <w:rPr>
                <w:b w:val="0"/>
                <w:sz w:val="18"/>
              </w:rPr>
              <w:t>Taxon-by-context tallies, seasonality, age profiles, cut marks.</w:t>
            </w:r>
          </w:p>
        </w:tc>
      </w:tr>
      <w:tr>
        <w:trPr>
          <w:cantSplit/>
        </w:trPr>
        <w:tc>
          <w:tcPr>
            <w:tcW w:type="dxa" w:w="1944"/>
            <w:vAlign w:val="top"/>
          </w:tcPr>
          <w:p>
            <w:pPr>
              <w:spacing w:after="0" w:before="0"/>
            </w:pPr>
            <w:r>
              <w:rPr>
                <w:sz w:val="18"/>
              </w:rPr>
            </w:r>
            <w:r>
              <w:rPr>
                <w:b w:val="0"/>
                <w:sz w:val="18"/>
              </w:rPr>
              <w:t>Bone mineral store</w:t>
            </w:r>
          </w:p>
        </w:tc>
        <w:tc>
          <w:tcPr>
            <w:tcW w:type="dxa" w:w="3240"/>
            <w:vAlign w:val="top"/>
          </w:tcPr>
          <w:p>
            <w:pPr>
              <w:spacing w:after="0" w:before="0"/>
            </w:pPr>
            <w:r>
              <w:rPr>
                <w:sz w:val="18"/>
              </w:rPr>
            </w:r>
            <w:r>
              <w:rPr>
                <w:b w:val="0"/>
                <w:sz w:val="18"/>
              </w:rPr>
              <w:t>Bone meal tables list calcium-rich material in processed forms. [17]</w:t>
            </w:r>
          </w:p>
        </w:tc>
        <w:tc>
          <w:tcPr>
            <w:tcW w:type="dxa" w:w="3096"/>
            <w:vAlign w:val="top"/>
          </w:tcPr>
          <w:p>
            <w:pPr>
              <w:spacing w:after="0" w:before="0"/>
            </w:pPr>
            <w:r>
              <w:rPr>
                <w:sz w:val="18"/>
              </w:rPr>
            </w:r>
            <w:r>
              <w:rPr>
                <w:b w:val="0"/>
                <w:sz w:val="18"/>
              </w:rPr>
              <w:t>Bone is resident delayed value, not primary raider bait.</w:t>
            </w:r>
          </w:p>
        </w:tc>
        <w:tc>
          <w:tcPr>
            <w:tcW w:type="dxa" w:w="2520"/>
            <w:vAlign w:val="top"/>
          </w:tcPr>
          <w:p>
            <w:pPr>
              <w:spacing w:after="0" w:before="0"/>
            </w:pPr>
            <w:r>
              <w:rPr>
                <w:sz w:val="18"/>
              </w:rPr>
            </w:r>
            <w:r>
              <w:rPr>
                <w:b w:val="0"/>
                <w:sz w:val="18"/>
              </w:rPr>
              <w:t>Breakage, burning, crushing, boiling, grinding, cache, animal-gnaw patterns.</w:t>
            </w:r>
          </w:p>
        </w:tc>
      </w:tr>
      <w:tr>
        <w:trPr>
          <w:cantSplit/>
        </w:trPr>
        <w:tc>
          <w:tcPr>
            <w:tcW w:type="dxa" w:w="2556"/>
          </w:tcPr>
          <w:p>
            <w:pPr>
              <w:spacing w:before="0" w:after="0"/>
            </w:pPr>
            <w:r>
              <w:rPr>
                <w:sz w:val="18"/>
              </w:rPr>
              <w:t>Monumentality signal</w:t>
            </w:r>
          </w:p>
        </w:tc>
        <w:tc>
          <w:tcPr>
            <w:tcW w:type="dxa" w:w="2556"/>
          </w:tcPr>
          <w:p>
            <w:pPr>
              <w:spacing w:before="0" w:after="0"/>
            </w:pPr>
            <w:r>
              <w:rPr>
                <w:sz w:val="18"/>
              </w:rPr>
              <w:t>Large stones, skilled carving, repeated feasts, visitors, tools, smoke, and sound.</w:t>
            </w:r>
          </w:p>
        </w:tc>
        <w:tc>
          <w:tcPr>
            <w:tcW w:type="dxa" w:w="2556"/>
          </w:tcPr>
          <w:p>
            <w:pPr>
              <w:spacing w:before="0" w:after="0"/>
            </w:pPr>
            <w:r>
              <w:rPr>
                <w:sz w:val="18"/>
              </w:rPr>
              <w:t>Pre-accounting wealth signal: organized capacity, coalition reach, and negotiable value.</w:t>
            </w:r>
          </w:p>
        </w:tc>
        <w:tc>
          <w:tcPr>
            <w:tcW w:type="dxa" w:w="2556"/>
          </w:tcPr>
          <w:p>
            <w:pPr>
              <w:spacing w:before="0" w:after="0"/>
            </w:pPr>
            <w:r>
              <w:rPr>
                <w:sz w:val="18"/>
              </w:rPr>
              <w:t>Labour estimates, route data, visitor signatures, tool stock contexts, and regional comparison.</w:t>
            </w:r>
          </w:p>
        </w:tc>
      </w:tr>
    </w:tbl>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including projectile fragments, impact fractures, blades, scrapers, heavy tools, ground stone, and debitage, but also map the ordinary baseline produced by grinding, trampling, tool repair, and routine discard.</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micro-stress patterns. These predictions only gain force if the patterns differ from ordinary occupation, tool refresh, processing, trampling, and fill movement.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clubs, axes, dogs, and reroute pressure. Projectile evidence, if any, is more likely to come from attackers firing or carrying stone points into the site. Metal arrowheads are not expected for this main period; flint, chert, and perhaps obsidian are the relevant materials.</w:t>
      </w:r>
    </w:p>
    <w:p>
      <w:pPr>
        <w:spacing w:after="80" w:line="252" w:lineRule="auto"/>
      </w:pPr>
      <w:r>
        <w:t>Salvage remains relevant, but v0.88 does not rely on tidy recovery of every visible point. The better target is unsalvageable micro-trace: impact-shattered tips, tiny spalls, micro-debitage ground into threshold fill, micro-damage on stone edges, localized soil chemistry, and fragments too small or embedded to recover after the event. The test should favour impact-diagnostic signatures over generic anomalies.</w:t>
      </w:r>
    </w:p>
    <w:p>
      <w:pPr/>
      <w:r>
        <w:t>Equifinality is a serious problem. Grinding stones, pounding tools, trampling, tool repair, domestic discard, slope movement, and later fill can all produce small fragments and battered surfaces. Micro-traces only matter if they form a spatial, material, and stratigraphic pattern that differs from that ordinary activity background. The strongest target would be impact-induced fracture wings, micro-striations, embedded tip fragments, stone-edge spalling, or SEM-level wear patterns consistent with high-energy contact rather than routine knapping or tool refresh.</w:t>
      </w:r>
    </w:p>
    <w:p>
      <w:pPr>
        <w:pStyle w:val="Heading1"/>
        <w:spacing w:before="120" w:after="80"/>
      </w:pPr>
      <w:r>
        <w:t>13. Bone, calcium, delayed resident value, and scavenger ecology</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r>
        <w:t>Bone fragments and food waste may also work as secondary attractors. In a scarcity ecology, unused bone is not inert rubbish. It can retain marrow traces, mineral value, scent, and animal interest. Discarded or placed fragments could draw suids, canids, vultures, or other scavengers into known observation zones. This remains an opportunistic affordance and trace-loss pathway, not a primary explanation for Gobekli Tepe.</w:t>
      </w:r>
    </w:p>
    <w:p>
      <w:pPr/>
      <w:r>
        <w:t>For wild boar and smaller scavengers, bone or carrion scent may create direct food opportunities or help explain why fragments vanish, move, or acquire animal damage. For bears or other large dangerous carnivores, the value is different. A bear struck with a projectile may travel far, remain dangerous, and be difficult or impossible to recover safely. The likely benefit is competitor displacement from the immediate food zone, not dependable meat. In this role, bone fragments help reveal, distract, or displace animals that compete for nuts, honey, carrion, bone, stores, or other food signals.</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attention, but a regional network changes the risk calculation. Attacking one node may mean offending a wider web of kin, allies, ritual partners, and shared stone-language users.</w:t>
      </w:r>
    </w:p>
    <w:p>
      <w:pPr>
        <w:spacing w:after="80" w:line="252" w:lineRule="auto"/>
      </w:pPr>
      <w:r>
        <w:t>This network point strengthens perceived wealth without requiring a storehouse. A site can advertise coalition health, ritual authority, food competence, and negotiable value. Other T-pillar sites need not share the original GT problem. Once the monumental language existed, smaller or differently arranged sites could adopt it as coalition signalling, prestige echo, regional identity claim, or participation signal: we can raise stone persons too; we belong to this value world.</w:t>
      </w:r>
    </w:p>
    <w:p>
      <w:pPr>
        <w:pStyle w:val="Heading1"/>
        <w:spacing w:before="120" w:after="80"/>
      </w:pPr>
      <w:r>
        <w:t>15. Spatial anomaly test plan</w:t>
      </w:r>
    </w:p>
    <w:p>
      <w:pPr/>
      <w:r>
        <w:t>These tests must treat equifinality as the main pest. No single broken point, battered threshold, residue patch, or compacted surface would demogrify conflict. Grinding, pounding, tool repair, feasting, trampling, scavenger activity, slope movement, and fill processes can all create confusing micro-signals. The target is a repeated pattern across independent classes: access-zone micro-fragments, impact-diagnostic stone-edge damage, embedded or shattered tips, soil markers, repair, route compression, and stratigraphy aligning in ways that ordinary activity and scavenger disturbance do not explain well.</w:t>
      </w:r>
    </w:p>
    <w:p>
      <w:pPr/>
      <w:r>
        <w:t>The v0.88 filter is therefore conservative. Organic residues are useful only when cross-checked against harder-to-move traces: fracture-wing geometry, step terminations, micro-striations, limestone spalling, embedded lithic fragments, localized repair, unusual rubble placement, and route-specific patterning. A single anomaly is weak; a repeated pattern across route, stone surface, lithic damage, fill sequence, repair, and taphonomic context would carry more weight.</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1872"/>
            <w:shd w:fill="D9EAF7"/>
          </w:tcPr>
          <w:p>
            <w:pPr>
              <w:spacing w:after="0" w:before="0"/>
            </w:pPr>
            <w:r>
              <w:rPr>
                <w:b/>
                <w:sz w:val="18"/>
              </w:rPr>
            </w:r>
            <w:r>
              <w:rPr>
                <w:b/>
                <w:sz w:val="18"/>
              </w:rPr>
              <w:t>Test target</w:t>
            </w:r>
          </w:p>
        </w:tc>
        <w:tc>
          <w:tcPr>
            <w:tcW w:type="dxa" w:w="4464"/>
            <w:shd w:fill="D9EAF7"/>
          </w:tcPr>
          <w:p>
            <w:pPr>
              <w:spacing w:after="0" w:before="0"/>
            </w:pPr>
            <w:r>
              <w:rPr>
                <w:b/>
                <w:sz w:val="18"/>
              </w:rPr>
            </w:r>
            <w:r>
              <w:rPr>
                <w:b/>
                <w:sz w:val="18"/>
              </w:rPr>
              <w:t>What to look for</w:t>
            </w:r>
          </w:p>
        </w:tc>
        <w:tc>
          <w:tcPr>
            <w:tcW w:type="dxa" w:w="4320"/>
            <w:shd w:fill="D9EAF7"/>
          </w:tcPr>
          <w:p>
            <w:pPr>
              <w:spacing w:after="0" w:before="0"/>
            </w:pPr>
            <w:r>
              <w:rPr>
                <w:b/>
                <w:sz w:val="18"/>
              </w:rPr>
            </w:r>
            <w:r>
              <w:rPr>
                <w:b/>
                <w:sz w:val="18"/>
              </w:rPr>
              <w:t>What it would demogrify</w:t>
            </w:r>
          </w:p>
        </w:tc>
      </w:tr>
      <w:tr>
        <w:trPr>
          <w:cantSplit/>
        </w:trPr>
        <w:tc>
          <w:tcPr>
            <w:tcW w:type="dxa" w:w="1872"/>
            <w:vAlign w:val="top"/>
          </w:tcPr>
          <w:p>
            <w:pPr>
              <w:spacing w:after="0" w:before="0"/>
            </w:pPr>
            <w:r>
              <w:rPr>
                <w:sz w:val="18"/>
              </w:rPr>
            </w:r>
            <w:r>
              <w:rPr>
                <w:b w:val="0"/>
                <w:sz w:val="18"/>
              </w:rPr>
              <w:t>Routes</w:t>
            </w:r>
          </w:p>
        </w:tc>
        <w:tc>
          <w:tcPr>
            <w:tcW w:type="dxa" w:w="4464"/>
            <w:vAlign w:val="top"/>
          </w:tcPr>
          <w:p>
            <w:pPr>
              <w:spacing w:after="0" w:before="0"/>
            </w:pPr>
            <w:r>
              <w:rPr>
                <w:sz w:val="18"/>
              </w:rPr>
            </w:r>
            <w:r>
              <w:rPr>
                <w:b w:val="0"/>
                <w:sz w:val="18"/>
              </w:rPr>
              <w:t>Plan overlays of approaches, thresholds, benches, terraces, possible platforms, and reroutes.</w:t>
            </w:r>
          </w:p>
        </w:tc>
        <w:tc>
          <w:tcPr>
            <w:tcW w:type="dxa" w:w="4320"/>
            <w:vAlign w:val="top"/>
          </w:tcPr>
          <w:p>
            <w:pPr>
              <w:spacing w:after="0" w:before="0"/>
            </w:pPr>
            <w:r>
              <w:rPr>
                <w:sz w:val="18"/>
              </w:rPr>
            </w:r>
            <w:r>
              <w:rPr>
                <w:b w:val="0"/>
                <w:sz w:val="18"/>
              </w:rPr>
              <w:t>Whether people could be delayed, bunched, observed, or redirected.</w:t>
            </w:r>
          </w:p>
        </w:tc>
      </w:tr>
      <w:tr>
        <w:trPr>
          <w:cantSplit/>
        </w:trPr>
        <w:tc>
          <w:tcPr>
            <w:tcW w:type="dxa" w:w="1872"/>
            <w:vAlign w:val="top"/>
          </w:tcPr>
          <w:p>
            <w:pPr>
              <w:spacing w:after="0" w:before="0"/>
            </w:pPr>
            <w:r>
              <w:rPr>
                <w:sz w:val="18"/>
              </w:rPr>
            </w:r>
            <w:r>
              <w:rPr>
                <w:b w:val="0"/>
                <w:sz w:val="18"/>
              </w:rPr>
              <w:t>Timber</w:t>
            </w:r>
          </w:p>
        </w:tc>
        <w:tc>
          <w:tcPr>
            <w:tcW w:type="dxa" w:w="4464"/>
            <w:vAlign w:val="top"/>
          </w:tcPr>
          <w:p>
            <w:pPr>
              <w:spacing w:after="0" w:before="0"/>
            </w:pPr>
            <w:r>
              <w:rPr>
                <w:sz w:val="18"/>
              </w:rPr>
            </w:r>
            <w:r>
              <w:rPr>
                <w:b w:val="0"/>
                <w:sz w:val="18"/>
              </w:rPr>
              <w:t>Postholes, sockets, impressions, roof or screen evidence, attachment marks.</w:t>
            </w:r>
          </w:p>
        </w:tc>
        <w:tc>
          <w:tcPr>
            <w:tcW w:type="dxa" w:w="4320"/>
            <w:vAlign w:val="top"/>
          </w:tcPr>
          <w:p>
            <w:pPr>
              <w:spacing w:after="0" w:before="0"/>
            </w:pPr>
            <w:r>
              <w:rPr>
                <w:sz w:val="18"/>
              </w:rPr>
            </w:r>
            <w:r>
              <w:rPr>
                <w:b w:val="0"/>
                <w:sz w:val="18"/>
              </w:rPr>
              <w:t>Whether lost architecture changed access, sightlines, or upper surfaces.</w:t>
            </w:r>
          </w:p>
        </w:tc>
      </w:tr>
      <w:tr>
        <w:trPr>
          <w:cantSplit/>
        </w:trPr>
        <w:tc>
          <w:tcPr>
            <w:tcW w:type="dxa" w:w="1872"/>
            <w:vAlign w:val="top"/>
          </w:tcPr>
          <w:p>
            <w:pPr>
              <w:spacing w:after="0" w:before="0"/>
            </w:pPr>
            <w:r>
              <w:rPr>
                <w:sz w:val="18"/>
              </w:rPr>
            </w:r>
            <w:r>
              <w:rPr>
                <w:b w:val="0"/>
                <w:sz w:val="18"/>
              </w:rPr>
              <w:t>Lithics</w:t>
            </w:r>
          </w:p>
        </w:tc>
        <w:tc>
          <w:tcPr>
            <w:tcW w:type="dxa" w:w="4464"/>
            <w:vAlign w:val="top"/>
          </w:tcPr>
          <w:p>
            <w:r>
              <w:t>Incoming or embedded point fragments, impact fractures, shattered tips, fracture wings, step terminations, micro-striations, and micro-debitage distinct from tool refresh debris.</w:t>
            </w:r>
          </w:p>
        </w:tc>
        <w:tc>
          <w:tcPr>
            <w:tcW w:type="dxa" w:w="4320"/>
            <w:vAlign w:val="top"/>
          </w:tcPr>
          <w:p>
            <w:r>
              <w:t>Whether access zones carry impact-diagnostic micro-stress beyond knapping, grinding, trampling, tool repair, discard, or scavenger movement.</w:t>
            </w:r>
          </w:p>
        </w:tc>
      </w:tr>
      <w:tr>
        <w:trPr>
          <w:cantSplit/>
        </w:trPr>
        <w:tc>
          <w:tcPr>
            <w:tcW w:type="dxa" w:w="1872"/>
            <w:vAlign w:val="top"/>
          </w:tcPr>
          <w:p>
            <w:pPr>
              <w:spacing w:after="0" w:before="0"/>
            </w:pPr>
            <w:r>
              <w:rPr>
                <w:sz w:val="18"/>
              </w:rPr>
            </w:r>
            <w:r>
              <w:rPr>
                <w:b w:val="0"/>
                <w:sz w:val="18"/>
              </w:rPr>
              <w:t>Soils</w:t>
            </w:r>
          </w:p>
        </w:tc>
        <w:tc>
          <w:tcPr>
            <w:tcW w:type="dxa" w:w="4464"/>
            <w:vAlign w:val="top"/>
          </w:tcPr>
          <w:p>
            <w:r>
              <w:t>Localized protein, lipid, phosphate, burning, compaction, trampling, and microstratigraphic patterning tied to route stress, then cross-checked against harder traces.</w:t>
            </w:r>
          </w:p>
        </w:tc>
        <w:tc>
          <w:tcPr>
            <w:tcW w:type="dxa" w:w="4320"/>
            <w:vAlign w:val="top"/>
          </w:tcPr>
          <w:p>
            <w:r>
              <w:t>Whether threshold zones carried non-domestic duress rather than ordinary occupation, scavenger disturbance, or post-depositional mixing.</w:t>
            </w:r>
          </w:p>
        </w:tc>
      </w:tr>
      <w:tr>
        <w:trPr>
          <w:cantSplit/>
        </w:trPr>
        <w:tc>
          <w:tcPr>
            <w:tcW w:type="dxa" w:w="1872"/>
            <w:vAlign w:val="top"/>
          </w:tcPr>
          <w:p>
            <w:pPr>
              <w:spacing w:after="0" w:before="0"/>
            </w:pPr>
            <w:r>
              <w:rPr>
                <w:sz w:val="18"/>
              </w:rPr>
            </w:r>
            <w:r>
              <w:rPr>
                <w:b w:val="0"/>
                <w:sz w:val="18"/>
              </w:rPr>
              <w:t>Repair</w:t>
            </w:r>
          </w:p>
        </w:tc>
        <w:tc>
          <w:tcPr>
            <w:tcW w:type="dxa" w:w="4464"/>
            <w:vAlign w:val="top"/>
          </w:tcPr>
          <w:p>
            <w:pPr>
              <w:spacing w:after="0" w:before="0"/>
            </w:pPr>
            <w:r>
              <w:rPr>
                <w:sz w:val="18"/>
              </w:rPr>
            </w:r>
            <w:r>
              <w:rPr>
                <w:b w:val="0"/>
                <w:sz w:val="18"/>
              </w:rPr>
              <w:t>Blocked openings, rebuilt thresholds, patched wall areas, repeated stress zones.</w:t>
            </w:r>
          </w:p>
        </w:tc>
        <w:tc>
          <w:tcPr>
            <w:tcW w:type="dxa" w:w="4320"/>
            <w:vAlign w:val="top"/>
          </w:tcPr>
          <w:p>
            <w:pPr>
              <w:spacing w:after="0" w:before="0"/>
            </w:pPr>
            <w:r>
              <w:rPr>
                <w:sz w:val="18"/>
              </w:rPr>
            </w:r>
            <w:r>
              <w:rPr>
                <w:b w:val="0"/>
                <w:sz w:val="18"/>
              </w:rPr>
              <w:t>Whether movement routes carried unusual pressure.</w:t>
            </w:r>
          </w:p>
        </w:tc>
      </w:tr>
      <w:tr>
        <w:trPr>
          <w:cantSplit/>
        </w:trPr>
        <w:tc>
          <w:tcPr>
            <w:tcW w:type="dxa" w:w="1872"/>
            <w:vAlign w:val="top"/>
          </w:tcPr>
          <w:p>
            <w:pPr>
              <w:spacing w:after="0" w:before="0"/>
            </w:pPr>
            <w:r>
              <w:rPr>
                <w:sz w:val="18"/>
              </w:rPr>
            </w:r>
            <w:r>
              <w:rPr>
                <w:b w:val="0"/>
                <w:sz w:val="18"/>
              </w:rPr>
              <w:t>Human remains</w:t>
            </w:r>
          </w:p>
        </w:tc>
        <w:tc>
          <w:tcPr>
            <w:tcW w:type="dxa" w:w="4464"/>
            <w:vAlign w:val="top"/>
          </w:tcPr>
          <w:p>
            <w:pPr>
              <w:spacing w:after="0" w:before="0"/>
            </w:pPr>
            <w:r>
              <w:rPr>
                <w:sz w:val="18"/>
              </w:rPr>
            </w:r>
            <w:r>
              <w:rPr>
                <w:b w:val="0"/>
                <w:sz w:val="18"/>
              </w:rPr>
              <w:t>Skull handling, teeth, cut marks, animal damage, redeposited fragments, context links.</w:t>
            </w:r>
          </w:p>
        </w:tc>
        <w:tc>
          <w:tcPr>
            <w:tcW w:type="dxa" w:w="4320"/>
            <w:vAlign w:val="top"/>
          </w:tcPr>
          <w:p>
            <w:pPr>
              <w:spacing w:after="0" w:before="0"/>
            </w:pPr>
            <w:r>
              <w:rPr>
                <w:sz w:val="18"/>
              </w:rPr>
            </w:r>
            <w:r>
              <w:rPr>
                <w:b w:val="0"/>
                <w:sz w:val="18"/>
              </w:rPr>
              <w:t>Whether death practice, trace loss, or rare conflict roles can be separated.</w:t>
            </w:r>
          </w:p>
        </w:tc>
      </w:tr>
      <w:tr>
        <w:trPr>
          <w:cantSplit/>
        </w:trPr>
        <w:tc>
          <w:tcPr>
            <w:tcW w:type="dxa" w:w="1872"/>
            <w:vAlign w:val="top"/>
          </w:tcPr>
          <w:p>
            <w:pPr>
              <w:spacing w:after="0" w:before="0"/>
            </w:pPr>
            <w:r>
              <w:rPr>
                <w:sz w:val="18"/>
              </w:rPr>
            </w:r>
            <w:r>
              <w:rPr>
                <w:b w:val="0"/>
                <w:sz w:val="18"/>
              </w:rPr>
              <w:t>Visitors</w:t>
            </w:r>
          </w:p>
        </w:tc>
        <w:tc>
          <w:tcPr>
            <w:tcW w:type="dxa" w:w="4464"/>
            <w:vAlign w:val="top"/>
          </w:tcPr>
          <w:p>
            <w:pPr>
              <w:spacing w:after="0" w:before="0"/>
            </w:pPr>
            <w:r>
              <w:rPr>
                <w:sz w:val="18"/>
              </w:rPr>
            </w:r>
            <w:r>
              <w:rPr>
                <w:b w:val="0"/>
                <w:sz w:val="18"/>
              </w:rPr>
              <w:t>Isotopes, non-local materials, style links, exchange objects.</w:t>
            </w:r>
          </w:p>
        </w:tc>
        <w:tc>
          <w:tcPr>
            <w:tcW w:type="dxa" w:w="4320"/>
            <w:vAlign w:val="top"/>
          </w:tcPr>
          <w:p>
            <w:pPr>
              <w:spacing w:after="0" w:before="0"/>
            </w:pPr>
            <w:r>
              <w:rPr>
                <w:sz w:val="18"/>
              </w:rPr>
            </w:r>
            <w:r>
              <w:rPr>
                <w:b w:val="0"/>
                <w:sz w:val="18"/>
              </w:rPr>
              <w:t>Who came to the site and from how far.</w:t>
            </w:r>
          </w:p>
        </w:tc>
      </w:tr>
      <w:tr>
        <w:tc>
          <w:tcPr>
            <w:tcW w:type="dxa" w:w="3408"/>
          </w:tcPr>
          <w:p>
            <w:r>
              <w:t>Taphonomic filter</w:t>
            </w:r>
          </w:p>
        </w:tc>
        <w:tc>
          <w:tcPr>
            <w:tcW w:type="dxa" w:w="3408"/>
          </w:tcPr>
          <w:p>
            <w:r>
              <w:t>Separate organic soil signals from scavenger disturbance by testing against lithic impact, stone-surface damage, repair, rubble, and route patterning.</w:t>
            </w:r>
          </w:p>
        </w:tc>
        <w:tc>
          <w:tcPr>
            <w:tcW w:type="dxa" w:w="3408"/>
          </w:tcPr>
          <w:p>
            <w:r>
              <w:t>Whether alleged stress traces survive ordinary site-use and trace-loss explanations.</w:t>
            </w:r>
          </w:p>
        </w:tc>
      </w:tr>
    </w:tbl>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but v0.88 treats it as a psychological threshold first and a mechanical tactic second. Human raiders are not gazelles. They can notice a bottleneck, hesitate, flank, or retreat. Hunger may override taboo, but it does not erase uncertainty. The useful delay is a short cognitive catch at a charged boundary: visible reward, watching stone persons, noise, dogs, height, social danger, uncertain risk, and the pressure of a known powerful group. If attackers still commit, a pantry-like barrier or visible food threshold could hold lead attackers in a narrow working position while defenders above or beside the route use prepared stone, timber, close weapons, and reroute pressure.</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Published modified skull fragments are treated primarily as death practice, skull handling, memory, and body-work within the ritual-social core. Rare emergency retrieval, scavenger interaction, predator attraction, secondary handling, taboo storage, and trace-loss pathways are retained only as scarcity-ecology limit cases. They are not presented as the normal explanation for the skull material, and they require direct contextual support before gaining rank.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show impact-diagnostic signatures distinct from ordinary tool repair debris; if soil and microstratigraphy isolate route stress from grinding, trampling, scavenger disturbance, and fill movement by cross-checking against harder traces; if bone-fragment contexts show patterned scavenger trace loss or animal-interest zones; if non-local visitor signatures support a broad catchment; if regional T-pillar sites show coalition signalling rather than identical function; and if repeated feast, tool, sound, smoke, visitor flow, and monumentality signals support perceived wealth as information ecology.</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904"/>
            <w:shd w:fill="D9EAF7"/>
          </w:tcPr>
          <w:p>
            <w:pPr>
              <w:spacing w:after="0" w:before="0"/>
            </w:pPr>
            <w:r>
              <w:rPr>
                <w:b/>
                <w:sz w:val="18"/>
              </w:rPr>
            </w:r>
            <w:r>
              <w:rPr>
                <w:b/>
                <w:sz w:val="18"/>
              </w:rPr>
              <w:t>Weakening result</w:t>
            </w:r>
          </w:p>
        </w:tc>
        <w:tc>
          <w:tcPr>
            <w:tcW w:type="dxa" w:w="4608"/>
            <w:shd w:fill="D9EAF7"/>
          </w:tcPr>
          <w:p>
            <w:pPr>
              <w:spacing w:after="0" w:before="0"/>
            </w:pPr>
            <w:r>
              <w:rPr>
                <w:b/>
                <w:sz w:val="18"/>
              </w:rPr>
            </w:r>
            <w:r>
              <w:rPr>
                <w:b/>
                <w:sz w:val="18"/>
              </w:rPr>
              <w:t>Effect on model</w:t>
            </w:r>
          </w:p>
        </w:tc>
      </w:tr>
      <w:tr>
        <w:trPr>
          <w:cantSplit/>
        </w:trPr>
        <w:tc>
          <w:tcPr>
            <w:tcW w:type="dxa" w:w="5904"/>
            <w:vAlign w:val="top"/>
          </w:tcPr>
          <w:p>
            <w:pPr>
              <w:spacing w:after="0" w:before="0"/>
            </w:pPr>
            <w:r>
              <w:rPr>
                <w:sz w:val="18"/>
              </w:rPr>
            </w:r>
            <w:r>
              <w:rPr>
                <w:b w:val="0"/>
                <w:sz w:val="18"/>
              </w:rPr>
              <w:t>No meaningful route delay, observation, bunching, or reroute potential under plan overlay.</w:t>
            </w:r>
          </w:p>
        </w:tc>
        <w:tc>
          <w:tcPr>
            <w:tcW w:type="dxa" w:w="4608"/>
            <w:vAlign w:val="top"/>
          </w:tcPr>
          <w:p>
            <w:pPr>
              <w:spacing w:after="0" w:before="0"/>
            </w:pPr>
            <w:r>
              <w:rPr>
                <w:sz w:val="18"/>
              </w:rPr>
            </w:r>
            <w:r>
              <w:rPr>
                <w:b w:val="0"/>
                <w:sz w:val="18"/>
              </w:rPr>
              <w:t>Weakens the warning-architecture layer.</w:t>
            </w:r>
          </w:p>
        </w:tc>
      </w:tr>
      <w:tr>
        <w:trPr>
          <w:cantSplit/>
        </w:trPr>
        <w:tc>
          <w:tcPr>
            <w:tcW w:type="dxa" w:w="5904"/>
            <w:vAlign w:val="top"/>
          </w:tcPr>
          <w:p>
            <w:pPr>
              <w:spacing w:after="0" w:before="0"/>
            </w:pPr>
            <w:r>
              <w:rPr>
                <w:sz w:val="18"/>
              </w:rPr>
            </w:r>
            <w:r>
              <w:rPr>
                <w:b w:val="0"/>
                <w:sz w:val="18"/>
              </w:rPr>
              <w:t>No timber, roof, platform, screen, or access evidence after detailed study.</w:t>
            </w:r>
          </w:p>
        </w:tc>
        <w:tc>
          <w:tcPr>
            <w:tcW w:type="dxa" w:w="4608"/>
            <w:vAlign w:val="top"/>
          </w:tcPr>
          <w:p>
            <w:pPr>
              <w:spacing w:after="0" w:before="0"/>
            </w:pPr>
            <w:r>
              <w:rPr>
                <w:sz w:val="18"/>
              </w:rPr>
            </w:r>
            <w:r>
              <w:rPr>
                <w:b w:val="0"/>
                <w:sz w:val="18"/>
              </w:rPr>
              <w:t>Weakens delay-and-drop and roof-failure mechanisms.</w:t>
            </w:r>
          </w:p>
        </w:tc>
      </w:tr>
      <w:tr>
        <w:trPr>
          <w:cantSplit/>
        </w:trPr>
        <w:tc>
          <w:tcPr>
            <w:tcW w:type="dxa" w:w="5904"/>
            <w:vAlign w:val="top"/>
          </w:tcPr>
          <w:p>
            <w:pPr>
              <w:spacing w:after="0" w:before="0"/>
            </w:pPr>
            <w:r>
              <w:rPr>
                <w:sz w:val="18"/>
              </w:rPr>
            </w:r>
            <w:r>
              <w:rPr>
                <w:b w:val="0"/>
                <w:sz w:val="18"/>
              </w:rPr>
              <w:t>Food-processing evidence remains feast-scale with no reputation, storage, or perceived-wealth pathway.</w:t>
            </w:r>
          </w:p>
        </w:tc>
        <w:tc>
          <w:tcPr>
            <w:tcW w:type="dxa" w:w="4608"/>
            <w:vAlign w:val="top"/>
          </w:tcPr>
          <w:p>
            <w:pPr>
              <w:spacing w:after="0" w:before="0"/>
            </w:pPr>
            <w:r>
              <w:rPr>
                <w:sz w:val="18"/>
              </w:rPr>
            </w:r>
            <w:r>
              <w:rPr>
                <w:b w:val="0"/>
                <w:sz w:val="18"/>
              </w:rPr>
              <w:t>Weakens first-perceived-wealth pressure, though not feasting.</w:t>
            </w:r>
          </w:p>
        </w:tc>
      </w:tr>
      <w:tr>
        <w:trPr>
          <w:cantSplit/>
        </w:trPr>
        <w:tc>
          <w:tcPr>
            <w:tcW w:type="dxa" w:w="5904"/>
            <w:vAlign w:val="top"/>
          </w:tcPr>
          <w:p>
            <w:pPr>
              <w:spacing w:after="0" w:before="0"/>
            </w:pPr>
            <w:r>
              <w:rPr>
                <w:sz w:val="18"/>
              </w:rPr>
            </w:r>
            <w:r>
              <w:rPr>
                <w:b w:val="0"/>
                <w:sz w:val="18"/>
              </w:rPr>
              <w:t>Human remains are fully explained by later disturbance or unrelated fill movement.</w:t>
            </w:r>
          </w:p>
        </w:tc>
        <w:tc>
          <w:tcPr>
            <w:tcW w:type="dxa" w:w="4608"/>
            <w:vAlign w:val="top"/>
          </w:tcPr>
          <w:p>
            <w:pPr>
              <w:spacing w:after="0" w:before="0"/>
            </w:pPr>
            <w:r>
              <w:rPr>
                <w:sz w:val="18"/>
              </w:rPr>
            </w:r>
            <w:r>
              <w:rPr>
                <w:b w:val="0"/>
                <w:sz w:val="18"/>
              </w:rPr>
              <w:t>Weakens mortuary crisis and rare conflict readings.</w:t>
            </w:r>
          </w:p>
        </w:tc>
      </w:tr>
      <w:tr>
        <w:trPr>
          <w:cantSplit/>
        </w:trPr>
        <w:tc>
          <w:tcPr>
            <w:tcW w:type="dxa" w:w="5904"/>
            <w:vAlign w:val="top"/>
          </w:tcPr>
          <w:p>
            <w:r>
              <w:t>Lithic, stone-surface, soil, and repair data show no access-zone pattern, or alleged anomalies cannot be separated from grinding, trampling, tool repair, domestic discard, scavenger disturbance, and fill movement.</w:t>
            </w:r>
          </w:p>
        </w:tc>
        <w:tc>
          <w:tcPr>
            <w:tcW w:type="dxa" w:w="4608"/>
            <w:vAlign w:val="top"/>
          </w:tcPr>
          <w:p>
            <w:r>
              <w:t>Keeps tactical mechanisms very low-rank.</w:t>
            </w:r>
          </w:p>
        </w:tc>
      </w:tr>
      <w:tr>
        <w:trPr>
          <w:cantSplit/>
        </w:trPr>
        <w:tc>
          <w:tcPr>
            <w:tcW w:type="dxa" w:w="5904"/>
            <w:vAlign w:val="top"/>
          </w:tcPr>
          <w:p>
            <w:pPr>
              <w:spacing w:after="0" w:before="0"/>
            </w:pPr>
            <w:r>
              <w:rPr>
                <w:sz w:val="18"/>
              </w:rPr>
            </w:r>
            <w:r>
              <w:rPr>
                <w:b w:val="0"/>
                <w:sz w:val="18"/>
              </w:rPr>
              <w:t>A simpler model explains ritual, food, animal, death, route, and visibility data with fewer assumptions.</w:t>
            </w:r>
          </w:p>
        </w:tc>
        <w:tc>
          <w:tcPr>
            <w:tcW w:type="dxa" w:w="4608"/>
            <w:vAlign w:val="top"/>
          </w:tcPr>
          <w:p>
            <w:pPr>
              <w:spacing w:after="0" w:before="0"/>
            </w:pPr>
            <w:r>
              <w:rPr>
                <w:sz w:val="18"/>
              </w:rPr>
            </w:r>
            <w:r>
              <w:rPr>
                <w:b w:val="0"/>
                <w:sz w:val="18"/>
              </w:rPr>
              <w:t>The raider-risk layer should lose rank.</w:t>
            </w:r>
          </w:p>
        </w:tc>
      </w:tr>
      <w:tr>
        <w:trPr>
          <w:cantSplit/>
        </w:trPr>
        <w:tc>
          <w:tcPr>
            <w:tcW w:type="dxa" w:w="5112"/>
          </w:tcPr>
          <w:p>
            <w:pPr>
              <w:spacing w:before="0" w:after="0"/>
            </w:pPr>
            <w:r>
              <w:rPr>
                <w:sz w:val="18"/>
              </w:rPr>
              <w:t>T-pillar regional patterning shows identical function is required everywhere, or no meaningful coalition or emulation signal can be sustained.</w:t>
            </w:r>
          </w:p>
        </w:tc>
        <w:tc>
          <w:tcPr>
            <w:tcW w:type="dxa" w:w="5112"/>
          </w:tcPr>
          <w:p>
            <w:pPr>
              <w:spacing w:before="0" w:after="0"/>
            </w:pPr>
            <w:r>
              <w:rPr>
                <w:sz w:val="18"/>
              </w:rPr>
              <w:t>Weakens the prestige-echo and regional warning layer.</w:t>
            </w:r>
          </w:p>
        </w:tc>
      </w:tr>
      <w:tr>
        <w:tc>
          <w:tcPr>
            <w:tcW w:type="dxa" w:w="5112"/>
          </w:tcPr>
          <w:p>
            <w:r>
              <w:t>Perceived-wealth signals do not form a plausible information ecology: smoke, sound, visitor flow, tool stock, food work, and monumentality cannot be shown as repeated or visible enough to matter.</w:t>
            </w:r>
          </w:p>
        </w:tc>
        <w:tc>
          <w:tcPr>
            <w:tcW w:type="dxa" w:w="5112"/>
          </w:tcPr>
          <w:p>
            <w:r>
              <w:t>Weakens the raider-attractor layer while leaving ritual and feasting intact.</w:t>
            </w:r>
          </w:p>
        </w:tc>
      </w:tr>
      <w:tr>
        <w:tc>
          <w:tcPr>
            <w:tcW w:type="dxa" w:w="5112"/>
          </w:tcPr>
          <w:p>
            <w:r>
              <w:t>Bone fragments and scavenger traces show no patterned relationship to food zones, approach routes, observation points, animal damage, or trace-loss pathways.</w:t>
            </w:r>
          </w:p>
        </w:tc>
        <w:tc>
          <w:tcPr>
            <w:tcW w:type="dxa" w:w="5112"/>
          </w:tcPr>
          <w:p>
            <w:r>
              <w:t>Keeps the bone-attractor and competitor-displacement note as background ecology only.</w:t>
            </w:r>
          </w:p>
        </w:tc>
      </w:tr>
    </w:tbl>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r>
        <w:t>Use bone-fragment attractor only as a secondary ecological note. Do not let it become a new master claim. Distinguish direct scavenger food opportunities, such as suids or smaller animals, from large dangerous carnivore displacement, where the likely value is risk reduction rather than meat recovery.</w:t>
      </w:r>
    </w:p>
    <w:p>
      <w:pPr/>
      <w:r>
        <w:t>Use micro-trace evidence conservatively. Do not let generic micro-debris become tactical proof. Require repeated patterning across independent classes before raising the raider-risk layer in rank.</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r>
        <w:t>Footnote for v1.0 editorial pass: current drafts remain intentionally mogri-heavy so crawlers, cloners, and internal readers encounter the method in its native form. A publication-facing v1.0 should translate mogri-heavy table phrases into standard archaeology language while preserving the logic: unknowns that matter, false certainty, underdetermined variables, and evidence-rank discipline.</w:t>
      </w:r>
    </w:p>
    <w:p>
      <w:pPr>
        <w:pStyle w:val="Heading1"/>
        <w:spacing w:before="120" w:after="80"/>
      </w:pPr>
      <w:r>
        <w:t>Conclusion</w:t>
      </w:r>
    </w:p>
    <w:p>
      <w:pPr>
        <w:spacing w:after="80" w:line="252" w:lineRule="auto"/>
      </w:pPr>
      <w:r>
        <w:t>Version 0.88 keeps the rebuilt structure while adding a conservative taphonomic filter to the micro-trace test plan. Gobekli Tepe is not modelled as a gazelle trap, slave-catcher, labour-control device, hunting office, granary fort, predator-bait installation, or residue-proof battlefield. Hunting was not the broken system. First perceived wealth was the broken system. Attackers need not succeed. They need only sometimes try, hesitate, fail, and become a story.</w:t>
      </w:r>
    </w:p>
    <w:p>
      <w:pPr>
        <w:spacing w:after="80" w:line="252" w:lineRule="auto"/>
      </w:pPr>
      <w:r>
        <w:t>The core remains ritual-social: gathering, feasting, death practice, stone persons, animal imagery, identity, and regional memory. The central added layer is raider-risk deterrence at the farming hinge. Monumentality is treated as an early signal of organized negotiable value: the ability to gather bodies, move stone, host feasts, process food, hold dead, and summon allies. Information ecology connects the sensory broadcasts of food work to the intentional counter-signal of monumentality and coalition reach.</w:t>
      </w:r>
    </w:p>
    <w:p>
      <w:pPr>
        <w:spacing w:after="80" w:line="252" w:lineRule="auto"/>
      </w:pPr>
      <w:r>
        <w:t>Final v0.88 formulation: Gobekli Tepe may show how ritual systems became warning architecture at the first dangerous concentration of perceived food, bone, labour, dead, reputation, coalition reach, animal-interest zones, and visibility. Raider-risk is not the whole site. It is the first-perceived-wealth problem that the site may have solved unusually well through awe, warning, memory, brief but decisive hesitation, local landscape knowledge, and evidence patterns that remain testable only when taphonomic alternatives are kept in view.</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p>
      <w:pPr>
        <w:spacing w:after="60"/>
      </w:pPr>
      <w:r>
        <w:t>[18] Thali et al. 2022. Wild boar scavenging and forensic taphonomy. https://pmc.ncbi.nlm.nih.gov/articles/PMC9027482/</w:t>
      </w:r>
    </w:p>
    <w:p>
      <w:pPr>
        <w:spacing w:after="60"/>
      </w:pPr>
      <w:r>
        <w:t>[19] USDA APHIS. Black bear wildlife damage management technical series. https://www.aphis.usda.gov/sites/default/files/black-bear-wdm-tech-series.pdf</w:t>
      </w:r>
    </w:p>
    <w:p/>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and the First-Perceived-Wealth Raider Problem | v0.88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First-Perceived-Wealth Raider Problem v0.88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