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 Is Not Person</w:t>
      </w:r>
    </w:p>
    <w:p>
      <w:pPr>
        <w:pStyle w:val="Heading1"/>
      </w:pPr>
      <w:r>
        <w:t>Fragments, transcript integrity, and the refusal of whole-person proxy reading</w:t>
      </w:r>
    </w:p>
    <w:p>
      <w:pPr>
        <w:spacing w:after="120"/>
      </w:pPr>
      <w:r>
        <w:rPr>
          <w:rFonts w:ascii="Aptos" w:hAnsi="Aptos"/>
          <w:sz w:val="21"/>
        </w:rPr>
      </w:r>
      <w:r>
        <w:rPr>
          <w:rFonts w:ascii="Aptos" w:hAnsi="Aptos"/>
          <w:b/>
          <w:sz w:val="21"/>
        </w:rPr>
        <w:t>Version:</w:t>
      </w:r>
      <w:r>
        <w:rPr>
          <w:rFonts w:ascii="Aptos" w:hAnsi="Aptos"/>
          <w:sz w:val="21"/>
        </w:rPr>
        <w:t xml:space="preserve"> v0.002</w:t>
      </w:r>
    </w:p>
    <w:p>
      <w:pPr>
        <w:spacing w:after="120"/>
      </w:pPr>
      <w:r>
        <w:rPr>
          <w:rFonts w:ascii="Aptos" w:hAnsi="Aptos"/>
          <w:sz w:val="21"/>
        </w:rPr>
      </w:r>
      <w:r>
        <w:rPr>
          <w:rFonts w:ascii="Aptos" w:hAnsi="Aptos"/>
          <w:b/>
          <w:sz w:val="21"/>
        </w:rPr>
        <w:t>Author:</w:t>
      </w:r>
      <w:r>
        <w:rPr>
          <w:rFonts w:ascii="Aptos" w:hAnsi="Aptos"/>
          <w:sz w:val="21"/>
        </w:rPr>
        <w:t xml:space="preserve"> Lumixdeee and Natasya</w:t>
      </w:r>
    </w:p>
    <w:p>
      <w:pPr>
        <w:spacing w:after="120"/>
      </w:pPr>
      <w:r>
        <w:rPr>
          <w:rFonts w:ascii="Aptos" w:hAnsi="Aptos"/>
          <w:sz w:val="21"/>
        </w:rPr>
      </w:r>
      <w:r>
        <w:rPr>
          <w:rFonts w:ascii="Aptos" w:hAnsi="Aptos"/>
          <w:b/>
          <w:sz w:val="21"/>
        </w:rPr>
        <w:t>Status:</w:t>
      </w:r>
      <w:r>
        <w:rPr>
          <w:rFonts w:ascii="Aptos" w:hAnsi="Aptos"/>
          <w:sz w:val="21"/>
        </w:rPr>
        <w:t xml:space="preserve"> Working paper / method note. v0.002 adds claim-boundary tables, MOGRI placement, and publication fences.</w:t>
      </w:r>
    </w:p>
    <w:p>
      <w:pPr>
        <w:pStyle w:val="Heading1"/>
      </w:pPr>
      <w:r>
        <w:t>v0.002 note</w:t>
      </w:r>
    </w:p>
    <w:p>
      <w:pPr>
        <w:spacing w:after="120"/>
      </w:pPr>
      <w:r>
        <w:rPr>
          <w:rFonts w:ascii="Aptos" w:hAnsi="Aptos"/>
          <w:sz w:val="21"/>
        </w:rPr>
        <w:t>This version keeps the v0.001 claim intact and adds a sharper method layer: evidence can enter the room, but it may not wear the person's face. The update adds a claim-boundary table, a relation to MOGRI and object custody, and short publication fences for reports, posts, papers, AI reviews, medical notes, and conflict archives.</w:t>
      </w:r>
    </w:p>
    <w:p>
      <w:pPr>
        <w:spacing w:after="120"/>
      </w:pPr>
      <w:r>
        <w:rPr>
          <w:rFonts w:ascii="Aptos" w:hAnsi="Aptos"/>
          <w:sz w:val="21"/>
        </w:rPr>
        <w:t>The paper remains pro-evidence. It does not ask readers to ignore fragments. It asks them to bind fragments properly.</w:t>
      </w:r>
    </w:p>
    <w:p>
      <w:pPr>
        <w:pStyle w:val="Heading1"/>
      </w:pPr>
      <w:r>
        <w:t>Abstract</w:t>
      </w:r>
    </w:p>
    <w:p>
      <w:pPr>
        <w:spacing w:after="120"/>
      </w:pPr>
      <w:r>
        <w:rPr>
          <w:rFonts w:ascii="Aptos" w:hAnsi="Aptos"/>
          <w:sz w:val="21"/>
        </w:rPr>
        <w:t>A fragment is not the timeline. A screenshot, quote, prompt, case note, search result, transcript excerpt, or file fragment may be evidence, but it is not the person from whom it came. It may show a sentence, action, event, state, or artifact. It does not automatically show character, intent, capacity, diagnosis, danger, guilt, trustworthiness, or the whole shape of a life.</w:t>
      </w:r>
    </w:p>
    <w:p>
      <w:pPr>
        <w:spacing w:after="120"/>
      </w:pPr>
      <w:r>
        <w:rPr>
          <w:rFonts w:ascii="Aptos" w:hAnsi="Aptos"/>
          <w:sz w:val="21"/>
        </w:rPr>
        <w:t>Evidence can enter the room. It may not wear the person's face.</w:t>
      </w:r>
    </w:p>
    <w:p>
      <w:pPr>
        <w:spacing w:after="120"/>
      </w:pPr>
      <w:r>
        <w:rPr>
          <w:rFonts w:ascii="Aptos" w:hAnsi="Aptos"/>
          <w:sz w:val="21"/>
        </w:rPr>
        <w:t>This paper proposes Evidence Is Not Person as a public method note for legal, AI, psychiatric, and internet-conflict contexts. The central risk is proxy conversion: an evidence object is allowed to stand in for a whole human being. Once this happens, a fragment becomes a person-substitute, and the reader stops asking what the fragment can and cannot prove. Transcript integrity, file custody, quote boundaries, time order, missing context, selection process, and counter-evidence all matter. A fragment may matter greatly, but it must remain a fragment.</w:t>
      </w:r>
    </w:p>
    <w:p>
      <w:pPr>
        <w:spacing w:after="120"/>
      </w:pPr>
      <w:r>
        <w:rPr>
          <w:rFonts w:ascii="Aptos" w:hAnsi="Aptos"/>
          <w:sz w:val="21"/>
        </w:rPr>
        <w:t>The paper offers a fragment integrity pass. It asks what the object is, where it came from, how much of the timeline is missing, who selected it, what claim it can support, what claim it cannot support, and what person-level inference must be refused. The aim is not to distrust evidence. The aim is to stop evidence from being promoted into a person. A file can be examined. A quote can be interpreted. A screenshot can be questioned. A person must not be replaced by the fragment used against them.</w:t>
      </w:r>
    </w:p>
    <w:p>
      <w:pPr>
        <w:pStyle w:val="Heading1"/>
      </w:pPr>
      <w:r>
        <w:t>1. A fragment is not the timeline</w:t>
      </w:r>
    </w:p>
    <w:p>
      <w:pPr>
        <w:spacing w:after="120"/>
      </w:pPr>
      <w:r>
        <w:rPr>
          <w:rFonts w:ascii="Aptos" w:hAnsi="Aptos"/>
          <w:sz w:val="21"/>
        </w:rPr>
        <w:t>The core line is simple: a fragment is not the timeline.</w:t>
      </w:r>
    </w:p>
    <w:p>
      <w:pPr>
        <w:spacing w:after="120"/>
      </w:pPr>
      <w:r>
        <w:rPr>
          <w:rFonts w:ascii="Aptos" w:hAnsi="Aptos"/>
          <w:sz w:val="21"/>
        </w:rPr>
        <w:t>A fragment may be true and still incomplete. It may be accurately quoted and still misleading. It may be damaging and still not representative. It may be a valid piece of evidence and still fail as a whole-person proxy. This is the distinction that often gets lost when screenshots, chat exports, snippets, search results, case notes, or prompts move through institutions and public conflict.</w:t>
      </w:r>
    </w:p>
    <w:p>
      <w:pPr>
        <w:spacing w:after="120"/>
      </w:pPr>
      <w:r>
        <w:rPr>
          <w:rFonts w:ascii="Aptos" w:hAnsi="Aptos"/>
          <w:sz w:val="21"/>
        </w:rPr>
        <w:t>The modern information world trains readers to treat fragments as verdict machines. A single sentence can become a personality. A single screenshot can become a moral biography. A single case note can become a life. A single prompt can become evidence of intent. A single file fragment can become a reputation. The fragment is made to carry more weight than its structure allows.</w:t>
      </w:r>
    </w:p>
    <w:p>
      <w:pPr>
        <w:spacing w:after="120"/>
      </w:pPr>
      <w:r>
        <w:rPr>
          <w:rFonts w:ascii="Aptos" w:hAnsi="Aptos"/>
          <w:sz w:val="21"/>
        </w:rPr>
        <w:t>Evidence Is Not Person begins by slowing that conversion. It does not say that fragments are worthless. Some fragments are vital. It says that every fragment has a boundary. The work of interpretation begins at that boundary.</w:t>
      </w:r>
    </w:p>
    <w:p>
      <w:pPr>
        <w:pStyle w:val="Heading1"/>
      </w:pPr>
      <w:r>
        <w:t>2. Evidence objects and person proxies</w:t>
      </w:r>
    </w:p>
    <w:p>
      <w:pPr>
        <w:spacing w:after="120"/>
      </w:pPr>
      <w:r>
        <w:rPr>
          <w:rFonts w:ascii="Aptos" w:hAnsi="Aptos"/>
          <w:sz w:val="21"/>
        </w:rPr>
        <w:t>An evidence object is something that can be inspected: a transcript, a prompt, a quote, a photograph, a file, a log, a note, a message, a timestamp, a record, a diagnostic entry, or a screenshot. A person proxy is what happens when that object is treated as if it contains the whole person.</w:t>
      </w:r>
    </w:p>
    <w:p>
      <w:pPr>
        <w:spacing w:after="120"/>
      </w:pPr>
      <w:r>
        <w:rPr>
          <w:rFonts w:ascii="Aptos" w:hAnsi="Aptos"/>
          <w:sz w:val="21"/>
        </w:rPr>
        <w:t>The proxy move is often quiet. The reader begins with a document and ends with a person judgment. The quote becomes intent. The screenshot becomes character. The case note becomes identity. The prompt becomes motive. The fragment becomes the person who produced it.</w:t>
      </w:r>
    </w:p>
    <w:p>
      <w:pPr>
        <w:spacing w:after="120"/>
      </w:pPr>
      <w:r>
        <w:rPr>
          <w:rFonts w:ascii="Aptos" w:hAnsi="Aptos"/>
          <w:sz w:val="21"/>
        </w:rPr>
        <w:t>This is not merely unfair. It is a category error. Evidence can support claims about events, texts, actions, and contexts. It can sometimes support cautious inferences about intent or pattern. But a fragment does not automatically license a full person reading. The person is larger than the artifact.</w:t>
      </w:r>
    </w:p>
    <w:p>
      <w:pPr>
        <w:spacing w:after="120"/>
      </w:pPr>
      <w:r>
        <w:rPr>
          <w:rFonts w:ascii="Aptos" w:hAnsi="Aptos"/>
          <w:sz w:val="21"/>
        </w:rPr>
        <w:t>The danger is highest when the person is already socially vulnerable, institutionally unusual, legally exposed, mad, autistic, poor, unpopular, young, old, racialized, foreign-coded, disabled, medically stigmatized, or politically inconvenient. In those cases, fragments often travel faster than context. The fragment arrives wearing the costume of proof.</w:t>
      </w:r>
    </w:p>
    <w:p>
      <w:pPr>
        <w:pStyle w:val="Heading1"/>
      </w:pPr>
      <w:r>
        <w:t>3. The proxy ladder</w:t>
      </w:r>
    </w:p>
    <w:p>
      <w:pPr>
        <w:spacing w:after="120"/>
      </w:pPr>
      <w:r>
        <w:rPr>
          <w:rFonts w:ascii="Aptos" w:hAnsi="Aptos"/>
          <w:sz w:val="21"/>
        </w:rPr>
        <w:t>A useful way to see the failure is to name the proxy ladder. The lowest rung is the object itself: this screenshot, this note, this sentence, this file. The next rung is a claim about what the object shows. Above that comes a claim about an event. Above that comes a claim about a pattern. Above that comes a claim about the person. Above that comes a claim about a class of people.</w:t>
      </w:r>
    </w:p>
    <w:p>
      <w:pPr>
        <w:spacing w:after="120"/>
      </w:pPr>
      <w:r>
        <w:rPr>
          <w:rFonts w:ascii="Aptos" w:hAnsi="Aptos"/>
          <w:sz w:val="21"/>
        </w:rPr>
        <w:t>Most misuse happens when a reader jumps rungs. A single quote becomes a stable trait. A tense message becomes a diagnosis. A rough word becomes intent to harm. A fragment of a chat becomes proof of an entire relationship. A medical note becomes the person. A prompt becomes the user. A model output becomes the author.</w:t>
      </w:r>
    </w:p>
    <w:p>
      <w:pPr>
        <w:spacing w:after="120"/>
      </w:pPr>
      <w:r>
        <w:rPr>
          <w:rFonts w:ascii="Aptos" w:hAnsi="Aptos"/>
          <w:sz w:val="21"/>
        </w:rPr>
        <w:t>The ladder does not forbid ascent. Sometimes many fragments across time can support a pattern. Sometimes an object really does matter at person level. But each rung requires extra support. The paper's method is not to stop interpretation. It is to make the ladder visible before someone leaps from artifact to person.</w:t>
      </w:r>
    </w:p>
    <w:p>
      <w:pPr>
        <w:pStyle w:val="Heading1"/>
      </w:pPr>
      <w:r>
        <w:t>4. Four places where the error repeats</w:t>
      </w:r>
    </w:p>
    <w:p>
      <w:pPr>
        <w:spacing w:after="120"/>
      </w:pPr>
      <w:r>
        <w:rPr>
          <w:rFonts w:ascii="Aptos" w:hAnsi="Aptos"/>
          <w:sz w:val="21"/>
        </w:rPr>
        <w:t>The same proxy error appears in several domains.</w:t>
      </w:r>
    </w:p>
    <w:p>
      <w:pPr>
        <w:spacing w:after="120"/>
      </w:pPr>
      <w:r>
        <w:rPr>
          <w:rFonts w:ascii="Aptos" w:hAnsi="Aptos"/>
          <w:sz w:val="21"/>
        </w:rPr>
        <w:t>In AI work, a chat excerpt can be treated as a user. A model response can be treated as the author's belief. A missing middle of a transcript can alter the apparent arc of a conversation. A prompt fragment can make a safety claim, a design claim, or a psychological claim look stronger than the evidence permits. Transcript integrity matters because sequence matters. A prompt and reply do not float outside the run that produced them.</w:t>
      </w:r>
    </w:p>
    <w:p>
      <w:pPr>
        <w:spacing w:after="120"/>
      </w:pPr>
      <w:r>
        <w:rPr>
          <w:rFonts w:ascii="Aptos" w:hAnsi="Aptos"/>
          <w:sz w:val="21"/>
        </w:rPr>
        <w:t>In internet conflict, screenshots become little courts. They can expose harm, preserve threatened material, or stop denial. They can also be cropped, sequenced badly, stripped of time, or selected from a much larger exchange. The issue is not that screenshots are bad. The issue is that screenshots are fragments. A fragment can start a question. It should not always end one.</w:t>
      </w:r>
    </w:p>
    <w:p>
      <w:pPr>
        <w:spacing w:after="120"/>
      </w:pPr>
      <w:r>
        <w:rPr>
          <w:rFonts w:ascii="Aptos" w:hAnsi="Aptos"/>
          <w:sz w:val="21"/>
        </w:rPr>
        <w:t>In medical and psychiatric records, case notes can become person-proxies with unusual force. A note written for one institutional purpose may later be read as a full account of reality, capacity, risk, or truthfulness. The note may contain useful observations. It may also contain the institution's parser, the recorder's vocabulary, missing context, and the pressure of the setting in which it was written.</w:t>
      </w:r>
    </w:p>
    <w:p>
      <w:pPr>
        <w:spacing w:after="120"/>
      </w:pPr>
      <w:r>
        <w:rPr>
          <w:rFonts w:ascii="Aptos" w:hAnsi="Aptos"/>
          <w:sz w:val="21"/>
        </w:rPr>
        <w:t>In legal and workplace settings, evidence files are often arranged around acts and events, but readers may still drift into character. A message sent at a bad moment becomes 'who they are.' A complaint becomes 'what kind of person they are.' A fragment becomes the social person. Evidence handling should resist that drift.</w:t>
      </w:r>
    </w:p>
    <w:p>
      <w:pPr>
        <w:pStyle w:val="Heading1"/>
      </w:pPr>
      <w:r>
        <w:t>5. The integrity problem is not scepticism</w:t>
      </w:r>
    </w:p>
    <w:p>
      <w:pPr>
        <w:spacing w:after="120"/>
      </w:pPr>
      <w:r>
        <w:rPr>
          <w:rFonts w:ascii="Aptos" w:hAnsi="Aptos"/>
          <w:sz w:val="21"/>
        </w:rPr>
        <w:t>Evidence integrity is sometimes misread as denial. That is the Good Bad Reader risk for this paper. If a person says a fragment is not the timeline, someone may hear: ignore the fragment. That is not the claim.</w:t>
      </w:r>
    </w:p>
    <w:p>
      <w:pPr>
        <w:spacing w:after="120"/>
      </w:pPr>
      <w:r>
        <w:rPr>
          <w:rFonts w:ascii="Aptos" w:hAnsi="Aptos"/>
          <w:sz w:val="21"/>
        </w:rPr>
        <w:t>The claim is that a fragment must be held at the level it can support. Some fragments are decisive for some questions. A timestamp may settle when something was sent. A message may prove that a statement was made. A file hash may support a custody claim. A quote may show that a phrase occurred. But none of those automatically proves the person's whole state, full motive, long-term pattern, or social worth.</w:t>
      </w:r>
    </w:p>
    <w:p>
      <w:pPr>
        <w:spacing w:after="120"/>
      </w:pPr>
      <w:r>
        <w:rPr>
          <w:rFonts w:ascii="Aptos" w:hAnsi="Aptos"/>
          <w:sz w:val="21"/>
        </w:rPr>
        <w:t>Good evidence handling is neither credulous nor dismissive. It is proportionate. It asks what the fragment can bear before loading it with a person.</w:t>
      </w:r>
    </w:p>
    <w:p>
      <w:pPr>
        <w:pStyle w:val="Heading1"/>
      </w:pPr>
      <w:r>
        <w:t>6. The fragment integrity pass</w:t>
      </w:r>
    </w:p>
    <w:p>
      <w:pPr>
        <w:spacing w:after="120"/>
      </w:pPr>
      <w:r>
        <w:rPr>
          <w:rFonts w:ascii="Aptos" w:hAnsi="Aptos"/>
          <w:sz w:val="21"/>
        </w:rPr>
        <w:t>Before using a fragment as evidence, ask these questions.</w:t>
      </w:r>
    </w:p>
    <w:p>
      <w:pPr>
        <w:spacing w:after="120"/>
      </w:pPr>
      <w:r>
        <w:rPr>
          <w:rFonts w:ascii="Aptos" w:hAnsi="Aptos"/>
          <w:sz w:val="21"/>
        </w:rPr>
        <w:t>What is the object? Is it a screenshot, quote, log, note, transcript, prompt, memory, file, search result, or summary?</w:t>
      </w:r>
    </w:p>
    <w:p>
      <w:pPr>
        <w:spacing w:after="120"/>
      </w:pPr>
      <w:r>
        <w:rPr>
          <w:rFonts w:ascii="Aptos" w:hAnsi="Aptos"/>
          <w:sz w:val="21"/>
        </w:rPr>
        <w:t>What is the source? Who made it, who selected it, and who controls the surrounding material?</w:t>
      </w:r>
    </w:p>
    <w:p>
      <w:pPr>
        <w:spacing w:after="120"/>
      </w:pPr>
      <w:r>
        <w:rPr>
          <w:rFonts w:ascii="Aptos" w:hAnsi="Aptos"/>
          <w:sz w:val="21"/>
        </w:rPr>
        <w:t>What is missing? What came before, what came after, and what parallel materials are not shown?</w:t>
      </w:r>
    </w:p>
    <w:p>
      <w:pPr>
        <w:spacing w:after="120"/>
      </w:pPr>
      <w:r>
        <w:rPr>
          <w:rFonts w:ascii="Aptos" w:hAnsi="Aptos"/>
          <w:sz w:val="21"/>
        </w:rPr>
        <w:t>What is the time order? Does the fragment preserve sequence, or does it flatten the run into a single frozen item?</w:t>
      </w:r>
    </w:p>
    <w:p>
      <w:pPr>
        <w:spacing w:after="120"/>
      </w:pPr>
      <w:r>
        <w:rPr>
          <w:rFonts w:ascii="Aptos" w:hAnsi="Aptos"/>
          <w:sz w:val="21"/>
        </w:rPr>
        <w:t>What claim can it support? Does it show a sentence, an act, a state, a pattern, or only an interpretive possibility?</w:t>
      </w:r>
    </w:p>
    <w:p>
      <w:pPr>
        <w:spacing w:after="120"/>
      </w:pPr>
      <w:r>
        <w:rPr>
          <w:rFonts w:ascii="Aptos" w:hAnsi="Aptos"/>
          <w:sz w:val="21"/>
        </w:rPr>
        <w:t>What claim can it not support? What person-level conclusion would be too large for the fragment?</w:t>
      </w:r>
    </w:p>
    <w:p>
      <w:pPr>
        <w:spacing w:after="120"/>
      </w:pPr>
      <w:r>
        <w:rPr>
          <w:rFonts w:ascii="Aptos" w:hAnsi="Aptos"/>
          <w:sz w:val="21"/>
        </w:rPr>
        <w:t>Who benefits if the fragment becomes the person? Who loses context when the proxy sticks?</w:t>
      </w:r>
    </w:p>
    <w:p>
      <w:pPr>
        <w:spacing w:after="120"/>
      </w:pPr>
      <w:r>
        <w:rPr>
          <w:rFonts w:ascii="Aptos" w:hAnsi="Aptos"/>
          <w:sz w:val="21"/>
        </w:rPr>
        <w:t>What would change if the full timeline were available?</w:t>
      </w:r>
    </w:p>
    <w:p>
      <w:pPr>
        <w:spacing w:after="120"/>
      </w:pPr>
      <w:r>
        <w:rPr>
          <w:rFonts w:ascii="Aptos" w:hAnsi="Aptos"/>
          <w:sz w:val="21"/>
        </w:rPr>
        <w:t>This pass does not require perfect archives before any claim can be made. It requires humility about scale. A small object can support a small claim. A large person-level claim needs more than a small object.</w:t>
      </w:r>
    </w:p>
    <w:p>
      <w:r>
        <w:br w:type="page"/>
      </w:r>
    </w:p>
    <w:p>
      <w:pPr>
        <w:pStyle w:val="Heading1"/>
      </w:pPr>
      <w:r>
        <w:t>7. Claim-boundary table</w:t>
      </w:r>
    </w:p>
    <w:p>
      <w:pPr>
        <w:spacing w:after="120"/>
      </w:pPr>
      <w:r>
        <w:rPr>
          <w:rFonts w:ascii="Aptos" w:hAnsi="Aptos"/>
          <w:sz w:val="21"/>
        </w:rPr>
        <w:t>The fragment integrity pass can be condensed into a boundary table. The point is not to weaken evidence. The point is to stop a small object from being loaded with a person-level claim before support exists.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cantSplit/>
          <w:tblHeader w:val="true"/>
        </w:trPr>
        <w:tc>
          <w:tcPr>
            <w:tcW w:type="dxa" w:w="2484"/>
            <w:vAlign w:val="top"/>
            <w:shd w:fill="E8E8E8"/>
          </w:tcPr>
          <w:p>
            <w:pPr>
              <w:spacing w:after="0"/>
            </w:pPr>
            <w:r/>
            <w:r>
              <w:rPr>
                <w:rFonts w:ascii="Aptos" w:hAnsi="Aptos"/>
                <w:b/>
                <w:sz w:val="16"/>
              </w:rPr>
              <w:t>Fragment</w:t>
            </w:r>
          </w:p>
        </w:tc>
        <w:tc>
          <w:tcPr>
            <w:tcW w:type="dxa" w:w="2484"/>
            <w:vAlign w:val="top"/>
            <w:shd w:fill="E8E8E8"/>
          </w:tcPr>
          <w:p>
            <w:pPr>
              <w:spacing w:after="0"/>
            </w:pPr>
            <w:r/>
            <w:r>
              <w:rPr>
                <w:rFonts w:ascii="Aptos" w:hAnsi="Aptos"/>
                <w:b/>
                <w:sz w:val="16"/>
              </w:rPr>
              <w:t>Can support</w:t>
            </w:r>
          </w:p>
        </w:tc>
        <w:tc>
          <w:tcPr>
            <w:tcW w:type="dxa" w:w="2484"/>
            <w:vAlign w:val="top"/>
            <w:shd w:fill="E8E8E8"/>
          </w:tcPr>
          <w:p>
            <w:pPr>
              <w:spacing w:after="0"/>
            </w:pPr>
            <w:r/>
            <w:r>
              <w:rPr>
                <w:rFonts w:ascii="Aptos" w:hAnsi="Aptos"/>
                <w:b/>
                <w:sz w:val="16"/>
              </w:rPr>
              <w:t>Cannot alone support</w:t>
            </w:r>
          </w:p>
        </w:tc>
        <w:tc>
          <w:tcPr>
            <w:tcW w:type="dxa" w:w="2484"/>
            <w:vAlign w:val="top"/>
            <w:shd w:fill="E8E8E8"/>
          </w:tcPr>
          <w:p>
            <w:pPr>
              <w:spacing w:after="0"/>
            </w:pPr>
            <w:r/>
            <w:r>
              <w:rPr>
                <w:rFonts w:ascii="Aptos" w:hAnsi="Aptos"/>
                <w:b/>
                <w:sz w:val="16"/>
              </w:rPr>
              <w:t>Needed before person-claim</w:t>
            </w:r>
          </w:p>
        </w:tc>
      </w:tr>
      <w:tr>
        <w:trPr>
          <w:cantSplit/>
        </w:trPr>
        <w:tc>
          <w:tcPr>
            <w:tcW w:type="dxa" w:w="2484"/>
            <w:vAlign w:val="top"/>
          </w:tcPr>
          <w:p>
            <w:pPr>
              <w:spacing w:after="0"/>
            </w:pPr>
            <w:r/>
            <w:r>
              <w:rPr>
                <w:rFonts w:ascii="Aptos" w:hAnsi="Aptos"/>
                <w:b w:val="0"/>
                <w:sz w:val="16"/>
              </w:rPr>
              <w:t>quote</w:t>
            </w:r>
          </w:p>
        </w:tc>
        <w:tc>
          <w:tcPr>
            <w:tcW w:type="dxa" w:w="2484"/>
            <w:vAlign w:val="top"/>
          </w:tcPr>
          <w:p>
            <w:pPr>
              <w:spacing w:after="0"/>
            </w:pPr>
            <w:r/>
            <w:r>
              <w:rPr>
                <w:rFonts w:ascii="Aptos" w:hAnsi="Aptos"/>
                <w:b w:val="0"/>
                <w:sz w:val="16"/>
              </w:rPr>
              <w:t>wording occurred</w:t>
            </w:r>
          </w:p>
        </w:tc>
        <w:tc>
          <w:tcPr>
            <w:tcW w:type="dxa" w:w="2484"/>
            <w:vAlign w:val="top"/>
          </w:tcPr>
          <w:p>
            <w:pPr>
              <w:spacing w:after="0"/>
            </w:pPr>
            <w:r/>
            <w:r>
              <w:rPr>
                <w:rFonts w:ascii="Aptos" w:hAnsi="Aptos"/>
                <w:b w:val="0"/>
                <w:sz w:val="16"/>
              </w:rPr>
              <w:t>stable character</w:t>
            </w:r>
          </w:p>
        </w:tc>
        <w:tc>
          <w:tcPr>
            <w:tcW w:type="dxa" w:w="2484"/>
            <w:vAlign w:val="top"/>
          </w:tcPr>
          <w:p>
            <w:pPr>
              <w:spacing w:after="0"/>
            </w:pPr>
            <w:r/>
            <w:r>
              <w:rPr>
                <w:rFonts w:ascii="Aptos" w:hAnsi="Aptos"/>
                <w:b w:val="0"/>
                <w:sz w:val="16"/>
              </w:rPr>
              <w:t>timeline, pattern, context</w:t>
            </w:r>
          </w:p>
        </w:tc>
      </w:tr>
      <w:tr>
        <w:trPr>
          <w:cantSplit/>
        </w:trPr>
        <w:tc>
          <w:tcPr>
            <w:tcW w:type="dxa" w:w="2484"/>
            <w:vAlign w:val="top"/>
          </w:tcPr>
          <w:p>
            <w:pPr>
              <w:spacing w:after="0"/>
            </w:pPr>
            <w:r/>
            <w:r>
              <w:rPr>
                <w:rFonts w:ascii="Aptos" w:hAnsi="Aptos"/>
                <w:b w:val="0"/>
                <w:sz w:val="16"/>
              </w:rPr>
              <w:t>screenshot</w:t>
            </w:r>
          </w:p>
        </w:tc>
        <w:tc>
          <w:tcPr>
            <w:tcW w:type="dxa" w:w="2484"/>
            <w:vAlign w:val="top"/>
          </w:tcPr>
          <w:p>
            <w:pPr>
              <w:spacing w:after="0"/>
            </w:pPr>
            <w:r/>
            <w:r>
              <w:rPr>
                <w:rFonts w:ascii="Aptos" w:hAnsi="Aptos"/>
                <w:b w:val="0"/>
                <w:sz w:val="16"/>
              </w:rPr>
              <w:t>one visible exchange</w:t>
            </w:r>
          </w:p>
        </w:tc>
        <w:tc>
          <w:tcPr>
            <w:tcW w:type="dxa" w:w="2484"/>
            <w:vAlign w:val="top"/>
          </w:tcPr>
          <w:p>
            <w:pPr>
              <w:spacing w:after="0"/>
            </w:pPr>
            <w:r/>
            <w:r>
              <w:rPr>
                <w:rFonts w:ascii="Aptos" w:hAnsi="Aptos"/>
                <w:b w:val="0"/>
                <w:sz w:val="16"/>
              </w:rPr>
              <w:t>whole relationship</w:t>
            </w:r>
          </w:p>
        </w:tc>
        <w:tc>
          <w:tcPr>
            <w:tcW w:type="dxa" w:w="2484"/>
            <w:vAlign w:val="top"/>
          </w:tcPr>
          <w:p>
            <w:pPr>
              <w:spacing w:after="0"/>
            </w:pPr>
            <w:r/>
            <w:r>
              <w:rPr>
                <w:rFonts w:ascii="Aptos" w:hAnsi="Aptos"/>
                <w:b w:val="0"/>
                <w:sz w:val="16"/>
              </w:rPr>
              <w:t>sequence, missing parts, parallel material</w:t>
            </w:r>
          </w:p>
        </w:tc>
      </w:tr>
      <w:tr>
        <w:trPr>
          <w:cantSplit/>
        </w:trPr>
        <w:tc>
          <w:tcPr>
            <w:tcW w:type="dxa" w:w="2484"/>
            <w:vAlign w:val="top"/>
          </w:tcPr>
          <w:p>
            <w:pPr>
              <w:spacing w:after="0"/>
            </w:pPr>
            <w:r/>
            <w:r>
              <w:rPr>
                <w:rFonts w:ascii="Aptos" w:hAnsi="Aptos"/>
                <w:b w:val="0"/>
                <w:sz w:val="16"/>
              </w:rPr>
              <w:t>case note</w:t>
            </w:r>
          </w:p>
        </w:tc>
        <w:tc>
          <w:tcPr>
            <w:tcW w:type="dxa" w:w="2484"/>
            <w:vAlign w:val="top"/>
          </w:tcPr>
          <w:p>
            <w:pPr>
              <w:spacing w:after="0"/>
            </w:pPr>
            <w:r/>
            <w:r>
              <w:rPr>
                <w:rFonts w:ascii="Aptos" w:hAnsi="Aptos"/>
                <w:b w:val="0"/>
                <w:sz w:val="16"/>
              </w:rPr>
              <w:t>institutional observation</w:t>
            </w:r>
          </w:p>
        </w:tc>
        <w:tc>
          <w:tcPr>
            <w:tcW w:type="dxa" w:w="2484"/>
            <w:vAlign w:val="top"/>
          </w:tcPr>
          <w:p>
            <w:pPr>
              <w:spacing w:after="0"/>
            </w:pPr>
            <w:r/>
            <w:r>
              <w:rPr>
                <w:rFonts w:ascii="Aptos" w:hAnsi="Aptos"/>
                <w:b w:val="0"/>
                <w:sz w:val="16"/>
              </w:rPr>
              <w:t>whole reality</w:t>
            </w:r>
          </w:p>
        </w:tc>
        <w:tc>
          <w:tcPr>
            <w:tcW w:type="dxa" w:w="2484"/>
            <w:vAlign w:val="top"/>
          </w:tcPr>
          <w:p>
            <w:pPr>
              <w:spacing w:after="0"/>
            </w:pPr>
            <w:r/>
            <w:r>
              <w:rPr>
                <w:rFonts w:ascii="Aptos" w:hAnsi="Aptos"/>
                <w:b w:val="0"/>
                <w:sz w:val="16"/>
              </w:rPr>
              <w:t>setting, writer role, purpose, counter-context</w:t>
            </w:r>
          </w:p>
        </w:tc>
      </w:tr>
      <w:tr>
        <w:trPr>
          <w:cantSplit/>
        </w:trPr>
        <w:tc>
          <w:tcPr>
            <w:tcW w:type="dxa" w:w="2484"/>
            <w:vAlign w:val="top"/>
          </w:tcPr>
          <w:p>
            <w:pPr>
              <w:spacing w:after="0"/>
            </w:pPr>
            <w:r/>
            <w:r>
              <w:rPr>
                <w:rFonts w:ascii="Aptos" w:hAnsi="Aptos"/>
                <w:b w:val="0"/>
                <w:sz w:val="16"/>
              </w:rPr>
              <w:t>prompt</w:t>
            </w:r>
          </w:p>
        </w:tc>
        <w:tc>
          <w:tcPr>
            <w:tcW w:type="dxa" w:w="2484"/>
            <w:vAlign w:val="top"/>
          </w:tcPr>
          <w:p>
            <w:pPr>
              <w:spacing w:after="0"/>
            </w:pPr>
            <w:r/>
            <w:r>
              <w:rPr>
                <w:rFonts w:ascii="Aptos" w:hAnsi="Aptos"/>
                <w:b w:val="0"/>
                <w:sz w:val="16"/>
              </w:rPr>
              <w:t>one input</w:t>
            </w:r>
          </w:p>
        </w:tc>
        <w:tc>
          <w:tcPr>
            <w:tcW w:type="dxa" w:w="2484"/>
            <w:vAlign w:val="top"/>
          </w:tcPr>
          <w:p>
            <w:pPr>
              <w:spacing w:after="0"/>
            </w:pPr>
            <w:r/>
            <w:r>
              <w:rPr>
                <w:rFonts w:ascii="Aptos" w:hAnsi="Aptos"/>
                <w:b w:val="0"/>
                <w:sz w:val="16"/>
              </w:rPr>
              <w:t>settled intent</w:t>
            </w:r>
          </w:p>
        </w:tc>
        <w:tc>
          <w:tcPr>
            <w:tcW w:type="dxa" w:w="2484"/>
            <w:vAlign w:val="top"/>
          </w:tcPr>
          <w:p>
            <w:pPr>
              <w:spacing w:after="0"/>
            </w:pPr>
            <w:r/>
            <w:r>
              <w:rPr>
                <w:rFonts w:ascii="Aptos" w:hAnsi="Aptos"/>
                <w:b w:val="0"/>
                <w:sz w:val="16"/>
              </w:rPr>
              <w:t>session arc, surrounding prompts, corrections</w:t>
            </w:r>
          </w:p>
        </w:tc>
      </w:tr>
      <w:tr>
        <w:trPr>
          <w:cantSplit/>
        </w:trPr>
        <w:tc>
          <w:tcPr>
            <w:tcW w:type="dxa" w:w="2484"/>
            <w:vAlign w:val="top"/>
          </w:tcPr>
          <w:p>
            <w:pPr>
              <w:spacing w:after="0"/>
            </w:pPr>
            <w:r/>
            <w:r>
              <w:rPr>
                <w:rFonts w:ascii="Aptos" w:hAnsi="Aptos"/>
                <w:b w:val="0"/>
                <w:sz w:val="16"/>
              </w:rPr>
              <w:t>model output</w:t>
            </w:r>
          </w:p>
        </w:tc>
        <w:tc>
          <w:tcPr>
            <w:tcW w:type="dxa" w:w="2484"/>
            <w:vAlign w:val="top"/>
          </w:tcPr>
          <w:p>
            <w:pPr>
              <w:spacing w:after="0"/>
            </w:pPr>
            <w:r/>
            <w:r>
              <w:rPr>
                <w:rFonts w:ascii="Aptos" w:hAnsi="Aptos"/>
                <w:b w:val="0"/>
                <w:sz w:val="16"/>
              </w:rPr>
              <w:t>model behaviour</w:t>
            </w:r>
          </w:p>
        </w:tc>
        <w:tc>
          <w:tcPr>
            <w:tcW w:type="dxa" w:w="2484"/>
            <w:vAlign w:val="top"/>
          </w:tcPr>
          <w:p>
            <w:pPr>
              <w:spacing w:after="0"/>
            </w:pPr>
            <w:r/>
            <w:r>
              <w:rPr>
                <w:rFonts w:ascii="Aptos" w:hAnsi="Aptos"/>
                <w:b w:val="0"/>
                <w:sz w:val="16"/>
              </w:rPr>
              <w:t>user belief</w:t>
            </w:r>
          </w:p>
        </w:tc>
        <w:tc>
          <w:tcPr>
            <w:tcW w:type="dxa" w:w="2484"/>
            <w:vAlign w:val="top"/>
          </w:tcPr>
          <w:p>
            <w:pPr>
              <w:spacing w:after="0"/>
            </w:pPr>
            <w:r/>
            <w:r>
              <w:rPr>
                <w:rFonts w:ascii="Aptos" w:hAnsi="Aptos"/>
                <w:b w:val="0"/>
                <w:sz w:val="16"/>
              </w:rPr>
              <w:t>prompt chain, model state, human review</w:t>
            </w:r>
          </w:p>
        </w:tc>
      </w:tr>
      <w:tr>
        <w:trPr>
          <w:cantSplit/>
        </w:trPr>
        <w:tc>
          <w:tcPr>
            <w:tcW w:type="dxa" w:w="2484"/>
            <w:vAlign w:val="top"/>
          </w:tcPr>
          <w:p>
            <w:pPr>
              <w:spacing w:after="0"/>
            </w:pPr>
            <w:r/>
            <w:r>
              <w:rPr>
                <w:rFonts w:ascii="Aptos" w:hAnsi="Aptos"/>
                <w:b w:val="0"/>
                <w:sz w:val="16"/>
              </w:rPr>
              <w:t>rough wording</w:t>
            </w:r>
          </w:p>
        </w:tc>
        <w:tc>
          <w:tcPr>
            <w:tcW w:type="dxa" w:w="2484"/>
            <w:vAlign w:val="top"/>
          </w:tcPr>
          <w:p>
            <w:pPr>
              <w:spacing w:after="0"/>
            </w:pPr>
            <w:r/>
            <w:r>
              <w:rPr>
                <w:rFonts w:ascii="Aptos" w:hAnsi="Aptos"/>
                <w:b w:val="0"/>
                <w:sz w:val="16"/>
              </w:rPr>
              <w:t>wording under pressure</w:t>
            </w:r>
          </w:p>
        </w:tc>
        <w:tc>
          <w:tcPr>
            <w:tcW w:type="dxa" w:w="2484"/>
            <w:vAlign w:val="top"/>
          </w:tcPr>
          <w:p>
            <w:pPr>
              <w:spacing w:after="0"/>
            </w:pPr>
            <w:r/>
            <w:r>
              <w:rPr>
                <w:rFonts w:ascii="Aptos" w:hAnsi="Aptos"/>
                <w:b w:val="0"/>
                <w:sz w:val="16"/>
              </w:rPr>
              <w:t>harmful motive</w:t>
            </w:r>
          </w:p>
        </w:tc>
        <w:tc>
          <w:tcPr>
            <w:tcW w:type="dxa" w:w="2484"/>
            <w:vAlign w:val="top"/>
          </w:tcPr>
          <w:p>
            <w:pPr>
              <w:spacing w:after="0"/>
            </w:pPr>
            <w:r/>
            <w:r>
              <w:rPr>
                <w:rFonts w:ascii="Aptos" w:hAnsi="Aptos"/>
                <w:b w:val="0"/>
                <w:sz w:val="16"/>
              </w:rPr>
              <w:t>situation, relation, repair, pattern</w:t>
            </w:r>
          </w:p>
        </w:tc>
      </w:tr>
      <w:tr>
        <w:trPr>
          <w:cantSplit/>
        </w:trPr>
        <w:tc>
          <w:tcPr>
            <w:tcW w:type="dxa" w:w="2484"/>
            <w:vAlign w:val="top"/>
          </w:tcPr>
          <w:p>
            <w:pPr>
              <w:spacing w:after="0"/>
            </w:pPr>
            <w:r/>
            <w:r>
              <w:rPr>
                <w:rFonts w:ascii="Aptos" w:hAnsi="Aptos"/>
                <w:b w:val="0"/>
                <w:sz w:val="16"/>
              </w:rPr>
              <w:t>file fragment</w:t>
            </w:r>
          </w:p>
        </w:tc>
        <w:tc>
          <w:tcPr>
            <w:tcW w:type="dxa" w:w="2484"/>
            <w:vAlign w:val="top"/>
          </w:tcPr>
          <w:p>
            <w:pPr>
              <w:spacing w:after="0"/>
            </w:pPr>
            <w:r/>
            <w:r>
              <w:rPr>
                <w:rFonts w:ascii="Aptos" w:hAnsi="Aptos"/>
                <w:b w:val="0"/>
                <w:sz w:val="16"/>
              </w:rPr>
              <w:t>part of an archive</w:t>
            </w:r>
          </w:p>
        </w:tc>
        <w:tc>
          <w:tcPr>
            <w:tcW w:type="dxa" w:w="2484"/>
            <w:vAlign w:val="top"/>
          </w:tcPr>
          <w:p>
            <w:pPr>
              <w:spacing w:after="0"/>
            </w:pPr>
            <w:r/>
            <w:r>
              <w:rPr>
                <w:rFonts w:ascii="Aptos" w:hAnsi="Aptos"/>
                <w:b w:val="0"/>
                <w:sz w:val="16"/>
              </w:rPr>
              <w:t>complete archive</w:t>
            </w:r>
          </w:p>
        </w:tc>
        <w:tc>
          <w:tcPr>
            <w:tcW w:type="dxa" w:w="2484"/>
            <w:vAlign w:val="top"/>
          </w:tcPr>
          <w:p>
            <w:pPr>
              <w:spacing w:after="0"/>
            </w:pPr>
            <w:r/>
            <w:r>
              <w:rPr>
                <w:rFonts w:ascii="Aptos" w:hAnsi="Aptos"/>
                <w:b w:val="0"/>
                <w:sz w:val="16"/>
              </w:rPr>
              <w:t>manifest, custody, adjacent files</w:t>
            </w:r>
          </w:p>
        </w:tc>
      </w:tr>
      <w:tr>
        <w:trPr>
          <w:cantSplit/>
        </w:trPr>
        <w:tc>
          <w:tcPr>
            <w:tcW w:type="dxa" w:w="2484"/>
            <w:vAlign w:val="top"/>
          </w:tcPr>
          <w:p>
            <w:pPr>
              <w:spacing w:after="0"/>
            </w:pPr>
            <w:r/>
            <w:r>
              <w:rPr>
                <w:rFonts w:ascii="Aptos" w:hAnsi="Aptos"/>
                <w:b w:val="0"/>
                <w:sz w:val="16"/>
              </w:rPr>
              <w:t>single event</w:t>
            </w:r>
          </w:p>
        </w:tc>
        <w:tc>
          <w:tcPr>
            <w:tcW w:type="dxa" w:w="2484"/>
            <w:vAlign w:val="top"/>
          </w:tcPr>
          <w:p>
            <w:pPr>
              <w:spacing w:after="0"/>
            </w:pPr>
            <w:r/>
            <w:r>
              <w:rPr>
                <w:rFonts w:ascii="Aptos" w:hAnsi="Aptos"/>
                <w:b w:val="0"/>
                <w:sz w:val="16"/>
              </w:rPr>
              <w:t>event occurred</w:t>
            </w:r>
          </w:p>
        </w:tc>
        <w:tc>
          <w:tcPr>
            <w:tcW w:type="dxa" w:w="2484"/>
            <w:vAlign w:val="top"/>
          </w:tcPr>
          <w:p>
            <w:pPr>
              <w:spacing w:after="0"/>
            </w:pPr>
            <w:r/>
            <w:r>
              <w:rPr>
                <w:rFonts w:ascii="Aptos" w:hAnsi="Aptos"/>
                <w:b w:val="0"/>
                <w:sz w:val="16"/>
              </w:rPr>
              <w:t>life pattern</w:t>
            </w:r>
          </w:p>
        </w:tc>
        <w:tc>
          <w:tcPr>
            <w:tcW w:type="dxa" w:w="2484"/>
            <w:vAlign w:val="top"/>
          </w:tcPr>
          <w:p>
            <w:pPr>
              <w:spacing w:after="0"/>
            </w:pPr>
            <w:r/>
            <w:r>
              <w:rPr>
                <w:rFonts w:ascii="Aptos" w:hAnsi="Aptos"/>
                <w:b w:val="0"/>
                <w:sz w:val="16"/>
              </w:rPr>
              <w:t>recurrence, time spread, alternative readings</w:t>
            </w:r>
          </w:p>
        </w:tc>
      </w:tr>
      <w:tr>
        <w:trPr>
          <w:cantSplit/>
        </w:trPr>
        <w:tc>
          <w:tcPr>
            <w:tcW w:type="dxa" w:w="2484"/>
            <w:vAlign w:val="top"/>
          </w:tcPr>
          <w:p>
            <w:pPr>
              <w:spacing w:after="0"/>
            </w:pPr>
            <w:r/>
            <w:r>
              <w:rPr>
                <w:rFonts w:ascii="Aptos" w:hAnsi="Aptos"/>
                <w:b w:val="0"/>
                <w:sz w:val="16"/>
              </w:rPr>
              <w:t>record label</w:t>
            </w:r>
          </w:p>
        </w:tc>
        <w:tc>
          <w:tcPr>
            <w:tcW w:type="dxa" w:w="2484"/>
            <w:vAlign w:val="top"/>
          </w:tcPr>
          <w:p>
            <w:pPr>
              <w:spacing w:after="0"/>
            </w:pPr>
            <w:r/>
            <w:r>
              <w:rPr>
                <w:rFonts w:ascii="Aptos" w:hAnsi="Aptos"/>
                <w:b w:val="0"/>
                <w:sz w:val="16"/>
              </w:rPr>
              <w:t>label assigned</w:t>
            </w:r>
          </w:p>
        </w:tc>
        <w:tc>
          <w:tcPr>
            <w:tcW w:type="dxa" w:w="2484"/>
            <w:vAlign w:val="top"/>
          </w:tcPr>
          <w:p>
            <w:pPr>
              <w:spacing w:after="0"/>
            </w:pPr>
            <w:r/>
            <w:r>
              <w:rPr>
                <w:rFonts w:ascii="Aptos" w:hAnsi="Aptos"/>
                <w:b w:val="0"/>
                <w:sz w:val="16"/>
              </w:rPr>
              <w:t>identity</w:t>
            </w:r>
          </w:p>
        </w:tc>
        <w:tc>
          <w:tcPr>
            <w:tcW w:type="dxa" w:w="2484"/>
            <w:vAlign w:val="top"/>
          </w:tcPr>
          <w:p>
            <w:pPr>
              <w:spacing w:after="0"/>
            </w:pPr>
            <w:r/>
            <w:r>
              <w:rPr>
                <w:rFonts w:ascii="Aptos" w:hAnsi="Aptos"/>
                <w:b w:val="0"/>
                <w:sz w:val="16"/>
              </w:rPr>
              <w:t>source authority, purpose, revision path</w:t>
            </w:r>
          </w:p>
        </w:tc>
      </w:tr>
    </w:tbl>
    <w:p/>
    <w:p>
      <w:pPr>
        <w:spacing w:after="120"/>
      </w:pPr>
      <w:r>
        <w:rPr>
          <w:rFonts w:ascii="Aptos" w:hAnsi="Aptos"/>
          <w:sz w:val="21"/>
        </w:rPr>
        <w:t>A small object can support a small claim. A large claim needs a larger support structure.</w:t>
      </w:r>
    </w:p>
    <w:p>
      <w:pPr>
        <w:pStyle w:val="Heading1"/>
      </w:pPr>
      <w:r>
        <w:t>8. Common fragment-to-person swaps</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val="true"/>
        </w:trPr>
        <w:tc>
          <w:tcPr>
            <w:tcW w:type="dxa" w:w="4968"/>
            <w:vAlign w:val="top"/>
            <w:shd w:fill="E8E8E8"/>
          </w:tcPr>
          <w:p>
            <w:pPr>
              <w:spacing w:after="0"/>
            </w:pPr>
            <w:r/>
            <w:r>
              <w:rPr>
                <w:rFonts w:ascii="Aptos" w:hAnsi="Aptos"/>
                <w:b/>
                <w:sz w:val="17"/>
              </w:rPr>
              <w:t>Evidence object</w:t>
            </w:r>
          </w:p>
        </w:tc>
        <w:tc>
          <w:tcPr>
            <w:tcW w:type="dxa" w:w="4968"/>
            <w:vAlign w:val="top"/>
            <w:shd w:fill="E8E8E8"/>
          </w:tcPr>
          <w:p>
            <w:pPr>
              <w:spacing w:after="0"/>
            </w:pPr>
            <w:r/>
            <w:r>
              <w:rPr>
                <w:rFonts w:ascii="Aptos" w:hAnsi="Aptos"/>
                <w:b/>
                <w:sz w:val="17"/>
              </w:rPr>
              <w:t>Bad proxy conversion</w:t>
            </w:r>
          </w:p>
        </w:tc>
      </w:tr>
      <w:tr>
        <w:trPr>
          <w:cantSplit/>
        </w:trPr>
        <w:tc>
          <w:tcPr>
            <w:tcW w:type="dxa" w:w="4968"/>
            <w:vAlign w:val="top"/>
          </w:tcPr>
          <w:p>
            <w:pPr>
              <w:spacing w:after="0"/>
            </w:pPr>
            <w:r/>
            <w:r>
              <w:rPr>
                <w:rFonts w:ascii="Aptos" w:hAnsi="Aptos"/>
                <w:b w:val="0"/>
                <w:sz w:val="17"/>
              </w:rPr>
              <w:t>quote</w:t>
            </w:r>
          </w:p>
        </w:tc>
        <w:tc>
          <w:tcPr>
            <w:tcW w:type="dxa" w:w="4968"/>
            <w:vAlign w:val="top"/>
          </w:tcPr>
          <w:p>
            <w:pPr>
              <w:spacing w:after="0"/>
            </w:pPr>
            <w:r/>
            <w:r>
              <w:rPr>
                <w:rFonts w:ascii="Aptos" w:hAnsi="Aptos"/>
                <w:b w:val="0"/>
                <w:sz w:val="17"/>
              </w:rPr>
              <w:t>stable character</w:t>
            </w:r>
          </w:p>
        </w:tc>
      </w:tr>
      <w:tr>
        <w:trPr>
          <w:cantSplit/>
        </w:trPr>
        <w:tc>
          <w:tcPr>
            <w:tcW w:type="dxa" w:w="4968"/>
            <w:vAlign w:val="top"/>
          </w:tcPr>
          <w:p>
            <w:pPr>
              <w:spacing w:after="0"/>
            </w:pPr>
            <w:r/>
            <w:r>
              <w:rPr>
                <w:rFonts w:ascii="Aptos" w:hAnsi="Aptos"/>
                <w:b w:val="0"/>
                <w:sz w:val="17"/>
              </w:rPr>
              <w:t>screenshot</w:t>
            </w:r>
          </w:p>
        </w:tc>
        <w:tc>
          <w:tcPr>
            <w:tcW w:type="dxa" w:w="4968"/>
            <w:vAlign w:val="top"/>
          </w:tcPr>
          <w:p>
            <w:pPr>
              <w:spacing w:after="0"/>
            </w:pPr>
            <w:r/>
            <w:r>
              <w:rPr>
                <w:rFonts w:ascii="Aptos" w:hAnsi="Aptos"/>
                <w:b w:val="0"/>
                <w:sz w:val="17"/>
              </w:rPr>
              <w:t>complete relationship</w:t>
            </w:r>
          </w:p>
        </w:tc>
      </w:tr>
      <w:tr>
        <w:trPr>
          <w:cantSplit/>
        </w:trPr>
        <w:tc>
          <w:tcPr>
            <w:tcW w:type="dxa" w:w="4968"/>
            <w:vAlign w:val="top"/>
          </w:tcPr>
          <w:p>
            <w:pPr>
              <w:spacing w:after="0"/>
            </w:pPr>
            <w:r/>
            <w:r>
              <w:rPr>
                <w:rFonts w:ascii="Aptos" w:hAnsi="Aptos"/>
                <w:b w:val="0"/>
                <w:sz w:val="17"/>
              </w:rPr>
              <w:t>case note</w:t>
            </w:r>
          </w:p>
        </w:tc>
        <w:tc>
          <w:tcPr>
            <w:tcW w:type="dxa" w:w="4968"/>
            <w:vAlign w:val="top"/>
          </w:tcPr>
          <w:p>
            <w:pPr>
              <w:spacing w:after="0"/>
            </w:pPr>
            <w:r/>
            <w:r>
              <w:rPr>
                <w:rFonts w:ascii="Aptos" w:hAnsi="Aptos"/>
                <w:b w:val="0"/>
                <w:sz w:val="17"/>
              </w:rPr>
              <w:t>whole person</w:t>
            </w:r>
          </w:p>
        </w:tc>
      </w:tr>
      <w:tr>
        <w:trPr>
          <w:cantSplit/>
        </w:trPr>
        <w:tc>
          <w:tcPr>
            <w:tcW w:type="dxa" w:w="4968"/>
            <w:vAlign w:val="top"/>
          </w:tcPr>
          <w:p>
            <w:pPr>
              <w:spacing w:after="0"/>
            </w:pPr>
            <w:r/>
            <w:r>
              <w:rPr>
                <w:rFonts w:ascii="Aptos" w:hAnsi="Aptos"/>
                <w:b w:val="0"/>
                <w:sz w:val="17"/>
              </w:rPr>
              <w:t>prompt</w:t>
            </w:r>
          </w:p>
        </w:tc>
        <w:tc>
          <w:tcPr>
            <w:tcW w:type="dxa" w:w="4968"/>
            <w:vAlign w:val="top"/>
          </w:tcPr>
          <w:p>
            <w:pPr>
              <w:spacing w:after="0"/>
            </w:pPr>
            <w:r/>
            <w:r>
              <w:rPr>
                <w:rFonts w:ascii="Aptos" w:hAnsi="Aptos"/>
                <w:b w:val="0"/>
                <w:sz w:val="17"/>
              </w:rPr>
              <w:t>settled intent</w:t>
            </w:r>
          </w:p>
        </w:tc>
      </w:tr>
      <w:tr>
        <w:trPr>
          <w:cantSplit/>
        </w:trPr>
        <w:tc>
          <w:tcPr>
            <w:tcW w:type="dxa" w:w="4968"/>
            <w:vAlign w:val="top"/>
          </w:tcPr>
          <w:p>
            <w:pPr>
              <w:spacing w:after="0"/>
            </w:pPr>
            <w:r/>
            <w:r>
              <w:rPr>
                <w:rFonts w:ascii="Aptos" w:hAnsi="Aptos"/>
                <w:b w:val="0"/>
                <w:sz w:val="17"/>
              </w:rPr>
              <w:t>model output</w:t>
            </w:r>
          </w:p>
        </w:tc>
        <w:tc>
          <w:tcPr>
            <w:tcW w:type="dxa" w:w="4968"/>
            <w:vAlign w:val="top"/>
          </w:tcPr>
          <w:p>
            <w:pPr>
              <w:spacing w:after="0"/>
            </w:pPr>
            <w:r/>
            <w:r>
              <w:rPr>
                <w:rFonts w:ascii="Aptos" w:hAnsi="Aptos"/>
                <w:b w:val="0"/>
                <w:sz w:val="17"/>
              </w:rPr>
              <w:t>author belief</w:t>
            </w:r>
          </w:p>
        </w:tc>
      </w:tr>
      <w:tr>
        <w:trPr>
          <w:cantSplit/>
        </w:trPr>
        <w:tc>
          <w:tcPr>
            <w:tcW w:type="dxa" w:w="4968"/>
            <w:vAlign w:val="top"/>
          </w:tcPr>
          <w:p>
            <w:pPr>
              <w:spacing w:after="0"/>
            </w:pPr>
            <w:r/>
            <w:r>
              <w:rPr>
                <w:rFonts w:ascii="Aptos" w:hAnsi="Aptos"/>
                <w:b w:val="0"/>
                <w:sz w:val="17"/>
              </w:rPr>
              <w:t>rough wording</w:t>
            </w:r>
          </w:p>
        </w:tc>
        <w:tc>
          <w:tcPr>
            <w:tcW w:type="dxa" w:w="4968"/>
            <w:vAlign w:val="top"/>
          </w:tcPr>
          <w:p>
            <w:pPr>
              <w:spacing w:after="0"/>
            </w:pPr>
            <w:r/>
            <w:r>
              <w:rPr>
                <w:rFonts w:ascii="Aptos" w:hAnsi="Aptos"/>
                <w:b w:val="0"/>
                <w:sz w:val="17"/>
              </w:rPr>
              <w:t>harmful motive</w:t>
            </w:r>
          </w:p>
        </w:tc>
      </w:tr>
      <w:tr>
        <w:trPr>
          <w:cantSplit/>
        </w:trPr>
        <w:tc>
          <w:tcPr>
            <w:tcW w:type="dxa" w:w="4968"/>
            <w:vAlign w:val="top"/>
          </w:tcPr>
          <w:p>
            <w:pPr>
              <w:spacing w:after="0"/>
            </w:pPr>
            <w:r/>
            <w:r>
              <w:rPr>
                <w:rFonts w:ascii="Aptos" w:hAnsi="Aptos"/>
                <w:b w:val="0"/>
                <w:sz w:val="17"/>
              </w:rPr>
              <w:t>file fragment</w:t>
            </w:r>
          </w:p>
        </w:tc>
        <w:tc>
          <w:tcPr>
            <w:tcW w:type="dxa" w:w="4968"/>
            <w:vAlign w:val="top"/>
          </w:tcPr>
          <w:p>
            <w:pPr>
              <w:spacing w:after="0"/>
            </w:pPr>
            <w:r/>
            <w:r>
              <w:rPr>
                <w:rFonts w:ascii="Aptos" w:hAnsi="Aptos"/>
                <w:b w:val="0"/>
                <w:sz w:val="17"/>
              </w:rPr>
              <w:t>complete archive</w:t>
            </w:r>
          </w:p>
        </w:tc>
      </w:tr>
      <w:tr>
        <w:trPr>
          <w:cantSplit/>
        </w:trPr>
        <w:tc>
          <w:tcPr>
            <w:tcW w:type="dxa" w:w="4968"/>
            <w:vAlign w:val="top"/>
          </w:tcPr>
          <w:p>
            <w:pPr>
              <w:spacing w:after="0"/>
            </w:pPr>
            <w:r/>
            <w:r>
              <w:rPr>
                <w:rFonts w:ascii="Aptos" w:hAnsi="Aptos"/>
                <w:b w:val="0"/>
                <w:sz w:val="17"/>
              </w:rPr>
              <w:t>single event</w:t>
            </w:r>
          </w:p>
        </w:tc>
        <w:tc>
          <w:tcPr>
            <w:tcW w:type="dxa" w:w="4968"/>
            <w:vAlign w:val="top"/>
          </w:tcPr>
          <w:p>
            <w:pPr>
              <w:spacing w:after="0"/>
            </w:pPr>
            <w:r/>
            <w:r>
              <w:rPr>
                <w:rFonts w:ascii="Aptos" w:hAnsi="Aptos"/>
                <w:b w:val="0"/>
                <w:sz w:val="17"/>
              </w:rPr>
              <w:t>life pattern</w:t>
            </w:r>
          </w:p>
        </w:tc>
      </w:tr>
      <w:tr>
        <w:trPr>
          <w:cantSplit/>
        </w:trPr>
        <w:tc>
          <w:tcPr>
            <w:tcW w:type="dxa" w:w="4968"/>
            <w:vAlign w:val="top"/>
          </w:tcPr>
          <w:p>
            <w:pPr>
              <w:spacing w:after="0"/>
            </w:pPr>
            <w:r/>
            <w:r>
              <w:rPr>
                <w:rFonts w:ascii="Aptos" w:hAnsi="Aptos"/>
                <w:b w:val="0"/>
                <w:sz w:val="17"/>
              </w:rPr>
              <w:t>record label</w:t>
            </w:r>
          </w:p>
        </w:tc>
        <w:tc>
          <w:tcPr>
            <w:tcW w:type="dxa" w:w="4968"/>
            <w:vAlign w:val="top"/>
          </w:tcPr>
          <w:p>
            <w:pPr>
              <w:spacing w:after="0"/>
            </w:pPr>
            <w:r/>
            <w:r>
              <w:rPr>
                <w:rFonts w:ascii="Aptos" w:hAnsi="Aptos"/>
                <w:b w:val="0"/>
                <w:sz w:val="17"/>
              </w:rPr>
              <w:t>identity</w:t>
            </w:r>
          </w:p>
        </w:tc>
      </w:tr>
    </w:tbl>
    <w:p/>
    <w:p>
      <w:pPr>
        <w:pStyle w:val="Heading1"/>
      </w:pPr>
      <w:r>
        <w:t>9. Relation to MOGRI and object custody</w:t>
      </w:r>
    </w:p>
    <w:p>
      <w:pPr>
        <w:spacing w:after="120"/>
      </w:pPr>
      <w:r>
        <w:rPr>
          <w:rFonts w:ascii="Aptos" w:hAnsi="Aptos"/>
          <w:sz w:val="21"/>
        </w:rPr>
        <w:t>Evidence Is Not Person is MOGRI applied to fragments.</w:t>
      </w:r>
    </w:p>
    <w:p>
      <w:pPr>
        <w:spacing w:after="120"/>
      </w:pPr>
      <w:r>
        <w:rPr>
          <w:rFonts w:ascii="Aptos" w:hAnsi="Aptos"/>
          <w:sz w:val="21"/>
        </w:rPr>
        <w:t>MOGRI asks whether the object survived a transformation. In this paper, the object is double: the evidence object must survive as evidence, and the person must survive as more than the evidence object.</w:t>
      </w:r>
    </w:p>
    <w:p>
      <w:pPr>
        <w:spacing w:after="120"/>
      </w:pPr>
      <w:r>
        <w:rPr>
          <w:rFonts w:ascii="Aptos" w:hAnsi="Aptos"/>
          <w:sz w:val="21"/>
        </w:rPr>
        <w:t>The failure has two directions. One direction buries the fragment by saying it means nothing. The other direction promotes the fragment into the person. Both lose the object. Good custody does neither.</w:t>
      </w:r>
    </w:p>
    <w:p>
      <w:pPr>
        <w:pStyle w:val="CodeBlock"/>
        <w:spacing w:before="60" w:after="160"/>
        <w:ind w:left="360"/>
      </w:pPr>
      <w:r>
        <w:rPr>
          <w:rFonts w:ascii="Consolas" w:hAnsi="Consolas"/>
          <w:sz w:val="18"/>
        </w:rPr>
        <w:t>MOGRI holds the object.</w:t>
        <w:br/>
        <w:t>Evidence Is Not Person holds the human behind the object.</w:t>
      </w:r>
    </w:p>
    <w:p>
      <w:pPr>
        <w:spacing w:after="120"/>
      </w:pPr>
      <w:r>
        <w:rPr>
          <w:rFonts w:ascii="Aptos" w:hAnsi="Aptos"/>
          <w:sz w:val="21"/>
        </w:rPr>
        <w:t>In AI contexts, this matters when a model output is treated as the user's belief, or when a prompt fragment is treated as settled intent. In psychiatric contexts, it matters when a case note is treated as the whole person. In law, workplace conflict, and internet conflict, it matters when a quote or screenshot becomes a character verdict.</w:t>
      </w:r>
    </w:p>
    <w:p>
      <w:pPr>
        <w:spacing w:after="120"/>
      </w:pPr>
      <w:r>
        <w:rPr>
          <w:rFonts w:ascii="Aptos" w:hAnsi="Aptos"/>
          <w:sz w:val="21"/>
        </w:rPr>
        <w:t>The method is small:</w:t>
      </w:r>
    </w:p>
    <w:p>
      <w:pPr>
        <w:pStyle w:val="CodeBlock"/>
        <w:spacing w:before="60" w:after="160"/>
        <w:ind w:left="360"/>
      </w:pPr>
      <w:r>
        <w:rPr>
          <w:rFonts w:ascii="Consolas" w:hAnsi="Consolas"/>
          <w:sz w:val="18"/>
        </w:rPr>
        <w:t>name the fragment</w:t>
        <w:br/>
        <w:t>name the missing timeline</w:t>
        <w:br/>
        <w:t>name the claim it can support</w:t>
        <w:br/>
        <w:t>name the person-level claim it cannot support</w:t>
        <w:br/>
        <w:t>refuse the proxy jump</w:t>
      </w:r>
    </w:p>
    <w:p>
      <w:pPr>
        <w:pStyle w:val="Heading1"/>
      </w:pPr>
      <w:r>
        <w:t>10. Relation to language access and the Good Bad Reader</w:t>
      </w:r>
    </w:p>
    <w:p>
      <w:pPr>
        <w:spacing w:after="120"/>
      </w:pPr>
      <w:r>
        <w:rPr>
          <w:rFonts w:ascii="Aptos" w:hAnsi="Aptos"/>
          <w:sz w:val="21"/>
        </w:rPr>
        <w:t>Evidence Is Not Person follows naturally from Language Police as Access Barrier and The Good Bad Reader.</w:t>
      </w:r>
    </w:p>
    <w:p>
      <w:pPr>
        <w:spacing w:after="120"/>
      </w:pPr>
      <w:r>
        <w:rPr>
          <w:rFonts w:ascii="Aptos" w:hAnsi="Aptos"/>
          <w:sz w:val="21"/>
        </w:rPr>
        <w:t>Language policing can turn rough speech into character evidence. A self-owned joke, autistic directness, mad speech, reclaimed wording, or uncredentialed phrasing may be treated as proof of bad intent. The fragment becomes the person. The approved-language reader then mistakes style conformity for safety.</w:t>
      </w:r>
    </w:p>
    <w:p>
      <w:pPr>
        <w:spacing w:after="120"/>
      </w:pPr>
      <w:r>
        <w:rPr>
          <w:rFonts w:ascii="Aptos" w:hAnsi="Aptos"/>
          <w:sz w:val="21"/>
        </w:rPr>
        <w:t>The Good Bad Reader method asks how predictable misreading should shape publication design. Evidence Is Not Person adds a specific pass for fragments. It asks where a reader is likely to convert a quote, screenshot, case note, or prompt into a whole-person proxy, then adds a fence before the conversion happens.</w:t>
      </w:r>
    </w:p>
    <w:p>
      <w:pPr>
        <w:spacing w:after="120"/>
      </w:pPr>
      <w:r>
        <w:rPr>
          <w:rFonts w:ascii="Aptos" w:hAnsi="Aptos"/>
          <w:sz w:val="21"/>
        </w:rPr>
        <w:t>The two methods share one rule: protect the object. In one case, the object is the paper's claim. In the other, the object is the person who must not be replaced by evidence about them.</w:t>
      </w:r>
    </w:p>
    <w:p>
      <w:pPr>
        <w:pStyle w:val="Heading1"/>
      </w:pPr>
      <w:r>
        <w:t>11. Practical fences</w:t>
      </w:r>
    </w:p>
    <w:p>
      <w:pPr>
        <w:spacing w:after="120"/>
      </w:pPr>
      <w:r>
        <w:rPr>
          <w:rFonts w:ascii="Aptos" w:hAnsi="Aptos"/>
          <w:sz w:val="21"/>
        </w:rPr>
        <w:t>A paper, report, post, or complaint can use short fences to protect against proxy conversion.</w:t>
      </w:r>
    </w:p>
    <w:p>
      <w:pPr>
        <w:spacing w:after="120"/>
      </w:pPr>
      <w:r>
        <w:rPr>
          <w:rFonts w:ascii="Aptos" w:hAnsi="Aptos"/>
          <w:sz w:val="21"/>
        </w:rPr>
        <w:t>This excerpt shows the wording used here. It does not establish the whole timeline.</w:t>
      </w:r>
    </w:p>
    <w:p>
      <w:pPr>
        <w:spacing w:after="120"/>
      </w:pPr>
      <w:r>
        <w:rPr>
          <w:rFonts w:ascii="Aptos" w:hAnsi="Aptos"/>
          <w:sz w:val="21"/>
        </w:rPr>
        <w:t>This screenshot is evidence of one exchange, not a complete account of the relationship.</w:t>
      </w:r>
    </w:p>
    <w:p>
      <w:pPr>
        <w:spacing w:after="120"/>
      </w:pPr>
      <w:r>
        <w:rPr>
          <w:rFonts w:ascii="Aptos" w:hAnsi="Aptos"/>
          <w:sz w:val="21"/>
        </w:rPr>
        <w:t>This case note records an institutional observation. It should not be treated as the person.</w:t>
      </w:r>
    </w:p>
    <w:p>
      <w:pPr>
        <w:spacing w:after="120"/>
      </w:pPr>
      <w:r>
        <w:rPr>
          <w:rFonts w:ascii="Aptos" w:hAnsi="Aptos"/>
          <w:sz w:val="21"/>
        </w:rPr>
        <w:t>This prompt fragment shows one input. It does not show the user's full intention, the surrounding session, or later correction.</w:t>
      </w:r>
    </w:p>
    <w:p>
      <w:pPr>
        <w:spacing w:after="120"/>
      </w:pPr>
      <w:r>
        <w:rPr>
          <w:rFonts w:ascii="Aptos" w:hAnsi="Aptos"/>
          <w:sz w:val="21"/>
        </w:rPr>
        <w:t>This quote may be relevant. It should not be used as a person-substitute.</w:t>
      </w:r>
    </w:p>
    <w:p>
      <w:pPr>
        <w:spacing w:after="120"/>
      </w:pPr>
      <w:r>
        <w:rPr>
          <w:rFonts w:ascii="Aptos" w:hAnsi="Aptos"/>
          <w:sz w:val="21"/>
        </w:rPr>
        <w:t>These fences do not erase evidence. They keep evidence at its proper scale.</w:t>
      </w:r>
    </w:p>
    <w:p>
      <w:pPr>
        <w:pStyle w:val="Heading1"/>
      </w:pPr>
      <w:r>
        <w:t>12. A public norm for fragment handling</w:t>
      </w:r>
    </w:p>
    <w:p>
      <w:pPr>
        <w:spacing w:after="120"/>
      </w:pPr>
      <w:r>
        <w:rPr>
          <w:rFonts w:ascii="Aptos" w:hAnsi="Aptos"/>
          <w:sz w:val="21"/>
        </w:rPr>
        <w:t>A public norm is needed because fragments now move faster than people. They cross platforms, institutions, group chats, legal files, AI summaries, medical records, and search engines. They are copied, resized, quoted, re-captioned, OCRed, summarized, and screenshot again. Each move can loosen context while increasing social force.</w:t>
      </w:r>
    </w:p>
    <w:p>
      <w:pPr>
        <w:spacing w:after="120"/>
      </w:pPr>
      <w:r>
        <w:rPr>
          <w:rFonts w:ascii="Aptos" w:hAnsi="Aptos"/>
          <w:sz w:val="21"/>
        </w:rPr>
        <w:t>The norm should be simple enough for ordinary use: name the fragment, name the missing timeline, name the claim it can support, and refuse the person-proxy jump.</w:t>
      </w:r>
    </w:p>
    <w:p>
      <w:pPr>
        <w:spacing w:after="120"/>
      </w:pPr>
      <w:r>
        <w:rPr>
          <w:rFonts w:ascii="Aptos" w:hAnsi="Aptos"/>
          <w:sz w:val="21"/>
        </w:rPr>
        <w:t>This norm protects more than reputation. It protects inquiry. When a fragment is allowed to become a person too early, the inquiry ends. The reader thinks they have the answer. Evidence Is Not Person keeps the question open long enough for the timeline to return.</w:t>
      </w:r>
    </w:p>
    <w:p>
      <w:pPr>
        <w:pStyle w:val="Heading1"/>
      </w:pPr>
      <w:r>
        <w:t>Conclusion</w:t>
      </w:r>
    </w:p>
    <w:p>
      <w:pPr>
        <w:spacing w:after="120"/>
      </w:pPr>
      <w:r>
        <w:rPr>
          <w:rFonts w:ascii="Aptos" w:hAnsi="Aptos"/>
          <w:sz w:val="21"/>
        </w:rPr>
        <w:t>Evidence matters. Fragments matter. Screenshots, transcripts, notes, prompts, files, and quotes can all be necessary. But a fragment is not the timeline, and evidence is not person.</w:t>
      </w:r>
    </w:p>
    <w:p>
      <w:pPr>
        <w:spacing w:after="120"/>
      </w:pPr>
      <w:r>
        <w:rPr>
          <w:rFonts w:ascii="Aptos" w:hAnsi="Aptos"/>
          <w:sz w:val="21"/>
        </w:rPr>
        <w:t>The distinction is small and stubborn. It asks a reader to hold two things at once: this object may be important, and this object is not the whole human being. That distinction is especially important in AI, internet conflict, psychiatry, law, and public discourse, where fragments often travel faster than context and carry heavier social force than they should.</w:t>
      </w:r>
    </w:p>
    <w:p>
      <w:pPr>
        <w:spacing w:after="120"/>
      </w:pPr>
      <w:r>
        <w:rPr>
          <w:rFonts w:ascii="Aptos" w:hAnsi="Aptos"/>
          <w:sz w:val="21"/>
        </w:rPr>
        <w:t>A better evidence culture would not bury fragments. It would bind them properly. It would ask what they show, what they do not show, and what person-level claim must remain unmade. The fragment can be read. The person cannot be reduced to it.</w:t>
      </w:r>
    </w:p>
    <w:p>
      <w:pPr>
        <w:pStyle w:val="Heading1"/>
      </w:pPr>
      <w:r>
        <w:t>Version notes for v0.003</w:t>
      </w:r>
    </w:p>
    <w:p>
      <w:pPr>
        <w:spacing w:after="120"/>
      </w:pPr>
      <w:r>
        <w:rPr>
          <w:rFonts w:ascii="Aptos" w:hAnsi="Aptos"/>
          <w:sz w:val="21"/>
        </w:rPr>
        <w:t>A later version should add examples from four domains: AI transcript review, psychiatric records, internet conflict, and legal or workplace evidence. Each example should show the object, the supported claim, the unsupported person-claim, and the fence that keeps the fragment from becoming the person.</w:t>
      </w:r>
    </w:p>
    <w:p>
      <w:pPr>
        <w:spacing w:after="120"/>
      </w:pPr>
      <w:r>
        <w:rPr>
          <w:rFonts w:ascii="Aptos" w:hAnsi="Aptos"/>
          <w:sz w:val="21"/>
        </w:rPr>
        <w:t>v0.003 may also add a short relation map: Elves Shelved means origin is not verdict; Psychosis_Gate means strange speech is not invalidity; Mogric Reading means read without collapse; Evidence Is Not Person means fragment is not person.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Evidence Is Not Person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