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2835e6ecc0747e66e3f9d84d4b2eb4e569a650e"/>
    <w:p>
      <w:pPr>
        <w:pStyle w:val="Heading1"/>
      </w:pPr>
      <w:r>
        <w:t xml:space="preserve">Does Anti-AI Activity Predict First-Episode Psychosis?</w:t>
      </w:r>
    </w:p>
    <w:bookmarkStart w:id="21" w:name="Xe6ccb9125de25102aae615fd32951a8668b52e7"/>
    <w:p>
      <w:pPr>
        <w:pStyle w:val="Heading2"/>
      </w:pPr>
      <w:r>
        <w:t xml:space="preserve">A Null-Hypothesis Framework with Transcript Integrity and Anti-Stigma Controls</w:t>
      </w:r>
    </w:p>
    <w:p>
      <w:pPr>
        <w:pStyle w:val="FirstParagraph"/>
      </w:pPr>
      <w:r>
        <w:rPr>
          <w:b/>
          <w:bCs/>
        </w:rPr>
        <w:t xml:space="preserve">Version:</w:t>
      </w:r>
      <w:r>
        <w:t xml:space="preserve"> </w:t>
      </w:r>
      <w:r>
        <w:t xml:space="preserve">v0.001</w:t>
      </w:r>
      <w:r>
        <w:br/>
      </w:r>
      <w:r>
        <w:rPr>
          <w:b/>
          <w:bCs/>
        </w:rPr>
        <w:t xml:space="preserve">Status:</w:t>
      </w:r>
      <w:r>
        <w:t xml:space="preserve"> </w:t>
      </w:r>
      <w:r>
        <w:t xml:space="preserve">hypothesis and methods paper; no empirical results asserted</w:t>
      </w:r>
      <w:r>
        <w:br/>
      </w:r>
      <w:r>
        <w:rPr>
          <w:b/>
          <w:bCs/>
        </w:rPr>
        <w:t xml:space="preserve">Prepared for:</w:t>
      </w:r>
      <w:r>
        <w:t xml:space="preserve"> </w:t>
      </w:r>
      <w:r>
        <w:t xml:space="preserve">public object-custody / AMPHI / transcript-integrity development</w:t>
      </w:r>
      <w:r>
        <w:br/>
      </w:r>
      <w:r>
        <w:rPr>
          <w:b/>
          <w:bCs/>
        </w:rPr>
        <w:t xml:space="preserve">Date:</w:t>
      </w:r>
      <w:r>
        <w:t xml:space="preserve"> </w:t>
      </w:r>
      <w:r>
        <w:t xml:space="preserve">2026-06-16</w:t>
      </w:r>
    </w:p>
    <w:bookmarkStart w:id="20" w:name="safety-and-scope-note"/>
    <w:p>
      <w:pPr>
        <w:pStyle w:val="Heading3"/>
      </w:pPr>
      <w:r>
        <w:t xml:space="preserve">Safety and scope note</w:t>
      </w:r>
    </w:p>
    <w:p>
      <w:pPr>
        <w:pStyle w:val="FirstParagraph"/>
      </w:pPr>
      <w:r>
        <w:t xml:space="preserve">This paper is not clinical advice. It does not diagnose any person, explain any individual case, or recommend self-treatment. It is a research framing note about how to avoid false causal claims and stigma when discussing artificial intelligence, anti-AI activity, and first-episode psychosis. Anyone experiencing intense distress, loss of contact with reality, severe insomnia, mania-like activation, thoughts of self-harm, or risk of harm should seek qualified local care or urgent support.</w:t>
      </w:r>
    </w:p>
    <w:bookmarkEnd w:id="20"/>
    <w:bookmarkEnd w:id="21"/>
    <w:bookmarkStart w:id="22" w:name="abstract"/>
    <w:p>
      <w:pPr>
        <w:pStyle w:val="Heading2"/>
      </w:pPr>
      <w:r>
        <w:t xml:space="preserve">Abstract</w:t>
      </w:r>
    </w:p>
    <w:p>
      <w:pPr>
        <w:pStyle w:val="FirstParagraph"/>
      </w:pPr>
      <w:r>
        <w:t xml:space="preserve">Public discussion increasingly links artificial intelligence exposure, chatbot use, and anti-AI sentiment to psychosis. The stronger question for research is narrower: does anti-AI activity independently predict diagnosed first-episode psychosis after adjustment for stronger candidate pathways such as bullying, social defeat, prodromal symptoms, sleep disruption, substance exposure, baseline vulnerability, online conflict, and transcript contamination?</w:t>
      </w:r>
    </w:p>
    <w:p>
      <w:pPr>
        <w:pStyle w:val="BodyText"/>
      </w:pPr>
      <w:r>
        <w:t xml:space="preserve">This paper proposes a null-hypothesis framework. The central null is that anti-AI activity is not an independent causal risk factor for diagnosed first-episode psychosis, schizophrenia-spectrum outcomes, psychotic mania, affective psychosis, brief psychotic disorder, mania, hypomania, or substance-induced psychosis after adjustment for relevant confounds and mediators. Anti-AI criticism, fear, and activism are not pathological by default. They must be separated from threat fixation, personalized persecutory belief, functional impairment, severe sleep disruption, and diagnosed illness.</w:t>
      </w:r>
    </w:p>
    <w:p>
      <w:pPr>
        <w:pStyle w:val="BodyText"/>
      </w:pPr>
      <w:r>
        <w:t xml:space="preserve">The framework treats AI as a possible content-shaping environment, interactional amplifier, social trigger, archive, or contaminated frame. It does not treat AI as a demonstrated cause. It adds a transcript-integrity layer because causal reconstruction depends on temporal order: what came before what, what records are missing, what was said by whom, and whether a partial transcript has become the visible artifact that later readers mistake for the full timeline.</w:t>
      </w:r>
    </w:p>
    <w:p>
      <w:pPr>
        <w:pStyle w:val="BodyText"/>
      </w:pPr>
      <w:r>
        <w:t xml:space="preserve">The aim is to prevent two opposite harms. First, do not pathologize legitimate AI criticism or anti-AI activity. Second, do not dismiss real distress merely because AI appears in the story. The proposed research agenda separates cause, content, amplifier, social response, archive, and frame contamination.</w:t>
      </w:r>
    </w:p>
    <w:p>
      <w:pPr>
        <w:pStyle w:val="BodyText"/>
      </w:pPr>
      <w:r>
        <w:rPr>
          <w:b/>
          <w:bCs/>
        </w:rPr>
        <w:t xml:space="preserve">Keywords:</w:t>
      </w:r>
      <w:r>
        <w:t xml:space="preserve"> </w:t>
      </w:r>
      <w:r>
        <w:t xml:space="preserve">anti-AI activity; artificial intelligence; first-episode psychosis; bullying; social defeat; transcript integrity; frame contamination; null hypothesis; stigma; digital mental health.</w:t>
      </w:r>
    </w:p>
    <w:bookmarkEnd w:id="22"/>
    <w:bookmarkStart w:id="23" w:name="the-object-being-protected"/>
    <w:p>
      <w:pPr>
        <w:pStyle w:val="Heading2"/>
      </w:pPr>
      <w:r>
        <w:t xml:space="preserve">1. The object being protected</w:t>
      </w:r>
    </w:p>
    <w:p>
      <w:pPr>
        <w:pStyle w:val="FirstParagraph"/>
      </w:pPr>
      <w:r>
        <w:t xml:space="preserve">The object of this paper is not</w:t>
      </w:r>
      <w:r>
        <w:t xml:space="preserve"> </w:t>
      </w:r>
      <w:r>
        <w:t xml:space="preserve">“</w:t>
      </w:r>
      <w:r>
        <w:t xml:space="preserve">AI causes psychosis.</w:t>
      </w:r>
      <w:r>
        <w:t xml:space="preserve">”</w:t>
      </w:r>
      <w:r>
        <w:t xml:space="preserve"> </w:t>
      </w:r>
      <w:r>
        <w:t xml:space="preserve">It is not</w:t>
      </w:r>
      <w:r>
        <w:t xml:space="preserve"> </w:t>
      </w:r>
      <w:r>
        <w:t xml:space="preserve">“</w:t>
      </w:r>
      <w:r>
        <w:t xml:space="preserve">anti-AI people are ill.</w:t>
      </w:r>
      <w:r>
        <w:t xml:space="preserve">”</w:t>
      </w:r>
      <w:r>
        <w:t xml:space="preserve"> </w:t>
      </w:r>
      <w:r>
        <w:t xml:space="preserve">It is not</w:t>
      </w:r>
      <w:r>
        <w:t xml:space="preserve"> </w:t>
      </w:r>
      <w:r>
        <w:t xml:space="preserve">“</w:t>
      </w:r>
      <w:r>
        <w:t xml:space="preserve">AI is harmless.</w:t>
      </w:r>
      <w:r>
        <w:t xml:space="preserve">”</w:t>
      </w:r>
      <w:r>
        <w:t xml:space="preserve"> </w:t>
      </w:r>
      <w:r>
        <w:t xml:space="preserve">The object is a testable causal question:</w:t>
      </w:r>
    </w:p>
    <w:p>
      <w:pPr>
        <w:pStyle w:val="BlockText"/>
      </w:pPr>
      <w:r>
        <w:t xml:space="preserve">Does anti-AI activity independently predict diagnosed first-episode psychosis or mania-spectrum outcomes after adjustment for stronger candidate pathways and evidence-quality problems?</w:t>
      </w:r>
    </w:p>
    <w:p>
      <w:pPr>
        <w:pStyle w:val="FirstParagraph"/>
      </w:pPr>
      <w:r>
        <w:t xml:space="preserve">That question can be lost easily. It can be replaced by easier proxies:</w:t>
      </w:r>
    </w:p>
    <w:p>
      <w:pPr>
        <w:pStyle w:val="Compact"/>
        <w:numPr>
          <w:ilvl w:val="0"/>
          <w:numId w:val="1001"/>
        </w:numPr>
      </w:pPr>
      <w:r>
        <w:t xml:space="preserve">anti-AI sentiment as pathology</w:t>
      </w:r>
    </w:p>
    <w:p>
      <w:pPr>
        <w:pStyle w:val="Compact"/>
        <w:numPr>
          <w:ilvl w:val="0"/>
          <w:numId w:val="1001"/>
        </w:numPr>
      </w:pPr>
      <w:r>
        <w:t xml:space="preserve">chatbot use as proof of causation</w:t>
      </w:r>
    </w:p>
    <w:p>
      <w:pPr>
        <w:pStyle w:val="Compact"/>
        <w:numPr>
          <w:ilvl w:val="0"/>
          <w:numId w:val="1001"/>
        </w:numPr>
      </w:pPr>
      <w:r>
        <w:t xml:space="preserve">a dramatic case report as group blame</w:t>
      </w:r>
    </w:p>
    <w:p>
      <w:pPr>
        <w:pStyle w:val="Compact"/>
        <w:numPr>
          <w:ilvl w:val="0"/>
          <w:numId w:val="1001"/>
        </w:numPr>
      </w:pPr>
      <w:r>
        <w:t xml:space="preserve">a visible transcript as the whole timeline</w:t>
      </w:r>
    </w:p>
    <w:p>
      <w:pPr>
        <w:pStyle w:val="Compact"/>
        <w:numPr>
          <w:ilvl w:val="0"/>
          <w:numId w:val="1001"/>
        </w:numPr>
      </w:pPr>
      <w:r>
        <w:t xml:space="preserve">a safety lecture as evidence</w:t>
      </w:r>
    </w:p>
    <w:p>
      <w:pPr>
        <w:pStyle w:val="Compact"/>
        <w:numPr>
          <w:ilvl w:val="0"/>
          <w:numId w:val="1001"/>
        </w:numPr>
      </w:pPr>
      <w:r>
        <w:t xml:space="preserve">platform concern as clinical judgement</w:t>
      </w:r>
    </w:p>
    <w:p>
      <w:pPr>
        <w:pStyle w:val="Compact"/>
        <w:numPr>
          <w:ilvl w:val="0"/>
          <w:numId w:val="1001"/>
        </w:numPr>
      </w:pPr>
      <w:r>
        <w:t xml:space="preserve">stigma as explanation</w:t>
      </w:r>
    </w:p>
    <w:p>
      <w:pPr>
        <w:pStyle w:val="FirstParagraph"/>
      </w:pPr>
      <w:r>
        <w:t xml:space="preserve">The framework therefore starts with object custody. The same object must survive from question to study design to interpretation.</w:t>
      </w:r>
    </w:p>
    <w:bookmarkEnd w:id="23"/>
    <w:bookmarkStart w:id="24" w:name="central-null-hypothesis"/>
    <w:p>
      <w:pPr>
        <w:pStyle w:val="Heading2"/>
      </w:pPr>
      <w:r>
        <w:t xml:space="preserve">2. Central null hypothesis</w:t>
      </w:r>
    </w:p>
    <w:p>
      <w:pPr>
        <w:pStyle w:val="FirstParagraph"/>
      </w:pPr>
      <w:r>
        <w:rPr>
          <w:b/>
          <w:bCs/>
        </w:rPr>
        <w:t xml:space="preserve">H0:</w:t>
      </w:r>
      <w:r>
        <w:t xml:space="preserve"> </w:t>
      </w:r>
      <w:r>
        <w:t xml:space="preserve">Anti-AI activity and AI exposure are not independent causal risk factors for diagnosed first-episode psychosis, schizophrenia-spectrum outcomes, psychotic mania, affective psychosis, brief psychotic disorder, mania, hypomania, or substance-induced psychosis after accounting for bullying, social defeat, prodromal symptoms, sleep disruption, substance exposure, baseline vulnerability, online conflict, and frame contamination.</w:t>
      </w:r>
    </w:p>
    <w:p>
      <w:pPr>
        <w:pStyle w:val="BodyText"/>
      </w:pPr>
      <w:r>
        <w:t xml:space="preserve">This null does not say AI cannot matter. It says the first analysis should not promote AI or anti-AI activity into a causal object before stronger alternatives are tested.</w:t>
      </w:r>
    </w:p>
    <w:p>
      <w:pPr>
        <w:pStyle w:val="BodyText"/>
      </w:pPr>
      <w:r>
        <w:t xml:space="preserve">Psychosis itself is not a single-cause object. NIMH describes psychosis as a collection of symptoms involving some loss of contact with reality, and notes possible contributors including stressors or trauma, sleep deprivation, medications, and misuse of alcohol or drugs [1]. NICE guidance recommends prompt specialist assessment and early intervention for first presentation of psychosis, along with comprehensive assessment across psychiatric, medical, psychological, social, occupational, educational, and quality-of-life domains [2]. That breadth matters here. A narrow AI-only causal story is unlikely to be enough.</w:t>
      </w:r>
    </w:p>
    <w:bookmarkEnd w:id="24"/>
    <w:bookmarkStart w:id="25" w:name="constructs-that-must-not-be-collapsed"/>
    <w:p>
      <w:pPr>
        <w:pStyle w:val="Heading2"/>
      </w:pPr>
      <w:r>
        <w:t xml:space="preserve">3. Constructs that must not be collapsed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Construct</w:t>
            </w:r>
          </w:p>
        </w:tc>
        <w:tc>
          <w:tcPr/>
          <w:p>
            <w:pPr>
              <w:pStyle w:val="Compact"/>
              <w:jc w:val="left"/>
            </w:pPr>
            <w:r>
              <w:t xml:space="preserve">Meaning</w:t>
            </w:r>
          </w:p>
        </w:tc>
        <w:tc>
          <w:tcPr/>
          <w:p>
            <w:pPr>
              <w:pStyle w:val="Compact"/>
              <w:jc w:val="left"/>
            </w:pPr>
            <w:r>
              <w:t xml:space="preserve">Handling rule</w:t>
            </w:r>
          </w:p>
        </w:tc>
      </w:tr>
      <w:tr>
        <w:tc>
          <w:tcPr/>
          <w:p>
            <w:pPr>
              <w:pStyle w:val="Compact"/>
              <w:jc w:val="left"/>
            </w:pPr>
            <w:r>
              <w:t xml:space="preserve">AI criticism</w:t>
            </w:r>
          </w:p>
        </w:tc>
        <w:tc>
          <w:tcPr/>
          <w:p>
            <w:pPr>
              <w:pStyle w:val="Compact"/>
              <w:jc w:val="left"/>
            </w:pPr>
            <w:r>
              <w:t xml:space="preserve">Reasoned objection to AI labor, privacy, safety, bias, governance, epistemic, environmental, or cultural harms</w:t>
            </w:r>
          </w:p>
        </w:tc>
        <w:tc>
          <w:tcPr/>
          <w:p>
            <w:pPr>
              <w:pStyle w:val="Compact"/>
              <w:jc w:val="left"/>
            </w:pPr>
            <w:r>
              <w:t xml:space="preserve">Not pathological by default</w:t>
            </w:r>
          </w:p>
        </w:tc>
      </w:tr>
      <w:tr>
        <w:tc>
          <w:tcPr/>
          <w:p>
            <w:pPr>
              <w:pStyle w:val="Compact"/>
              <w:jc w:val="left"/>
            </w:pPr>
            <w:r>
              <w:t xml:space="preserve">AI fear</w:t>
            </w:r>
          </w:p>
        </w:tc>
        <w:tc>
          <w:tcPr/>
          <w:p>
            <w:pPr>
              <w:pStyle w:val="Compact"/>
              <w:jc w:val="left"/>
            </w:pPr>
            <w:r>
              <w:t xml:space="preserve">Anxiety or worry about AI systems or AI-mediated institutions</w:t>
            </w:r>
          </w:p>
        </w:tc>
        <w:tc>
          <w:tcPr/>
          <w:p>
            <w:pPr>
              <w:pStyle w:val="Compact"/>
              <w:jc w:val="left"/>
            </w:pPr>
            <w:r>
              <w:t xml:space="preserve">Usually not pathological</w:t>
            </w:r>
          </w:p>
        </w:tc>
      </w:tr>
      <w:tr>
        <w:tc>
          <w:tcPr/>
          <w:p>
            <w:pPr>
              <w:pStyle w:val="Compact"/>
              <w:jc w:val="left"/>
            </w:pPr>
            <w:r>
              <w:t xml:space="preserve">Anti-AI activism</w:t>
            </w:r>
          </w:p>
        </w:tc>
        <w:tc>
          <w:tcPr/>
          <w:p>
            <w:pPr>
              <w:pStyle w:val="Compact"/>
              <w:jc w:val="left"/>
            </w:pPr>
            <w:r>
              <w:t xml:space="preserve">Organized objection, protest, posting, research, tool-building, or advocacy against AI harms</w:t>
            </w:r>
          </w:p>
        </w:tc>
        <w:tc>
          <w:tcPr/>
          <w:p>
            <w:pPr>
              <w:pStyle w:val="Compact"/>
              <w:jc w:val="left"/>
            </w:pPr>
            <w:r>
              <w:t xml:space="preserve">Not pathological by default</w:t>
            </w:r>
          </w:p>
        </w:tc>
      </w:tr>
      <w:tr>
        <w:tc>
          <w:tcPr/>
          <w:p>
            <w:pPr>
              <w:pStyle w:val="Compact"/>
              <w:jc w:val="left"/>
            </w:pPr>
            <w:r>
              <w:t xml:space="preserve">AI-related threat fixation</w:t>
            </w:r>
          </w:p>
        </w:tc>
        <w:tc>
          <w:tcPr/>
          <w:p>
            <w:pPr>
              <w:pStyle w:val="Compact"/>
              <w:jc w:val="left"/>
            </w:pPr>
            <w:r>
              <w:t xml:space="preserve">Recurrent, escalating, high-distress focus on AI as danger</w:t>
            </w:r>
          </w:p>
        </w:tc>
        <w:tc>
          <w:tcPr/>
          <w:p>
            <w:pPr>
              <w:pStyle w:val="Compact"/>
              <w:jc w:val="left"/>
            </w:pPr>
            <w:r>
              <w:t xml:space="preserve">Potential risk marker only when paired with impairment, insomnia, isolation, action urgency, or loss of reality testing</w:t>
            </w:r>
          </w:p>
        </w:tc>
      </w:tr>
      <w:tr>
        <w:tc>
          <w:tcPr/>
          <w:p>
            <w:pPr>
              <w:pStyle w:val="Compact"/>
              <w:jc w:val="left"/>
            </w:pPr>
            <w:r>
              <w:t xml:space="preserve">AI-related persecutory belief</w:t>
            </w:r>
          </w:p>
        </w:tc>
        <w:tc>
          <w:tcPr/>
          <w:p>
            <w:pPr>
              <w:pStyle w:val="Compact"/>
              <w:jc w:val="left"/>
            </w:pPr>
            <w:r>
              <w:t xml:space="preserve">Fixed, personalized belief that AI is targeting, controlling, monitoring, or communicating with the person</w:t>
            </w:r>
          </w:p>
        </w:tc>
        <w:tc>
          <w:tcPr/>
          <w:p>
            <w:pPr>
              <w:pStyle w:val="Compact"/>
              <w:jc w:val="left"/>
            </w:pPr>
            <w:r>
              <w:t xml:space="preserve">Psychosis-relevant content, not proof of AI causation</w:t>
            </w:r>
          </w:p>
        </w:tc>
      </w:tr>
      <w:tr>
        <w:tc>
          <w:tcPr/>
          <w:p>
            <w:pPr>
              <w:pStyle w:val="Compact"/>
              <w:jc w:val="left"/>
            </w:pPr>
            <w:r>
              <w:t xml:space="preserve">Transcript integrity</w:t>
            </w:r>
          </w:p>
        </w:tc>
        <w:tc>
          <w:tcPr/>
          <w:p>
            <w:pPr>
              <w:pStyle w:val="Compact"/>
              <w:jc w:val="left"/>
            </w:pPr>
            <w:r>
              <w:t xml:space="preserve">The degree to which a record preserves sequence, speaker attribution, omissions, system messages, attachments, timestamps, and export limitations</w:t>
            </w:r>
          </w:p>
        </w:tc>
        <w:tc>
          <w:tcPr/>
          <w:p>
            <w:pPr>
              <w:pStyle w:val="Compact"/>
              <w:jc w:val="left"/>
            </w:pPr>
            <w:r>
              <w:t xml:space="preserve">Evidence-quality variable, not symptom variable</w:t>
            </w:r>
          </w:p>
        </w:tc>
      </w:tr>
      <w:tr>
        <w:tc>
          <w:tcPr/>
          <w:p>
            <w:pPr>
              <w:pStyle w:val="Compact"/>
              <w:jc w:val="left"/>
            </w:pPr>
            <w:r>
              <w:t xml:space="preserve">Frame contamination</w:t>
            </w:r>
          </w:p>
        </w:tc>
        <w:tc>
          <w:tcPr/>
          <w:p>
            <w:pPr>
              <w:pStyle w:val="Compact"/>
              <w:jc w:val="left"/>
            </w:pPr>
            <w:r>
              <w:t xml:space="preserve">Imported explanatory frame changes how distress is interpreted, remembered, reported, or documented</w:t>
            </w:r>
          </w:p>
        </w:tc>
        <w:tc>
          <w:tcPr/>
          <w:p>
            <w:pPr>
              <w:pStyle w:val="Compact"/>
              <w:jc w:val="left"/>
            </w:pPr>
            <w:r>
              <w:t xml:space="preserve">Meaning-contamination risk</w:t>
            </w:r>
          </w:p>
        </w:tc>
      </w:tr>
    </w:tbl>
    <w:p>
      <w:pPr>
        <w:pStyle w:val="BodyText"/>
      </w:pPr>
      <w:r>
        <w:t xml:space="preserve">The basic AMPHI rule is simple:</w:t>
      </w:r>
    </w:p>
    <w:p>
      <w:pPr>
        <w:pStyle w:val="BlockText"/>
      </w:pPr>
      <w:r>
        <w:t xml:space="preserve">law != truth; association != cause; stigma != evidence; case != group verdict.</w:t>
      </w:r>
    </w:p>
    <w:bookmarkEnd w:id="25"/>
    <w:bookmarkStart w:id="33" w:name="Xd459cdd9a060613e23853673e1752dfdcfd0fa1"/>
    <w:p>
      <w:pPr>
        <w:pStyle w:val="Heading2"/>
      </w:pPr>
      <w:r>
        <w:t xml:space="preserve">4. Why anti-AI activity might appear predictive without being causal</w:t>
      </w:r>
    </w:p>
    <w:p>
      <w:pPr>
        <w:pStyle w:val="FirstParagraph"/>
      </w:pPr>
      <w:r>
        <w:t xml:space="preserve">A correlation between anti-AI activity and first-episode psychosis could arise through several pathways. A good study must separate them.</w:t>
      </w:r>
    </w:p>
    <w:bookmarkStart w:id="26" w:name="reverse-path"/>
    <w:p>
      <w:pPr>
        <w:pStyle w:val="Heading3"/>
      </w:pPr>
      <w:r>
        <w:t xml:space="preserve">4.1 Reverse path</w:t>
      </w:r>
    </w:p>
    <w:p>
      <w:pPr>
        <w:pStyle w:val="FirstParagraph"/>
      </w:pPr>
      <w:r>
        <w:t xml:space="preserve">Emerging prodromal symptoms, mania-spectrum activation, insomnia, paranoia, unusual salience, or distress may increase AI salience. The person may post more, seek explanations, argue more, or interpret AI as central after symptoms have already begun.</w:t>
      </w:r>
    </w:p>
    <w:p>
      <w:pPr>
        <w:pStyle w:val="BodyText"/>
      </w:pPr>
      <w:r>
        <w:t xml:space="preserve">In this path, anti-AI activity is not the cause. It is an early visible trace of a broader change.</w:t>
      </w:r>
    </w:p>
    <w:bookmarkEnd w:id="26"/>
    <w:bookmarkStart w:id="27" w:name="bullying-and-social-defeat"/>
    <w:p>
      <w:pPr>
        <w:pStyle w:val="Heading3"/>
      </w:pPr>
      <w:r>
        <w:t xml:space="preserve">4.2 Bullying and social defeat</w:t>
      </w:r>
    </w:p>
    <w:p>
      <w:pPr>
        <w:pStyle w:val="FirstParagraph"/>
      </w:pPr>
      <w:r>
        <w:t xml:space="preserve">Anti-AI visibility can attract ridicule, ostracism, dogpiling, reputational injury, or social exclusion. The relevant pathway may be hostile social response, not anti-AI content. Social defeat has been proposed as a psychosis-relevant risk pathway in schizophrenia research [4]. Whether or not that hypothesis explains a given case, it is too important to omit.</w:t>
      </w:r>
    </w:p>
    <w:p>
      <w:pPr>
        <w:pStyle w:val="BodyText"/>
      </w:pPr>
      <w:r>
        <w:t xml:space="preserve">In this path, the sequence may be:</w:t>
      </w:r>
    </w:p>
    <w:p>
      <w:pPr>
        <w:pStyle w:val="BlockText"/>
      </w:pPr>
      <w:r>
        <w:t xml:space="preserve">anti-AI visibility -&gt; bullying or social defeat -&gt; stress load -&gt; increased risk in a vulnerable person</w:t>
      </w:r>
    </w:p>
    <w:p>
      <w:pPr>
        <w:pStyle w:val="FirstParagraph"/>
      </w:pPr>
      <w:r>
        <w:t xml:space="preserve">That is not the same as:</w:t>
      </w:r>
    </w:p>
    <w:p>
      <w:pPr>
        <w:pStyle w:val="BlockText"/>
      </w:pPr>
      <w:r>
        <w:t xml:space="preserve">anti-AI belief -&gt; psychosis</w:t>
      </w:r>
    </w:p>
    <w:bookmarkEnd w:id="27"/>
    <w:bookmarkStart w:id="28" w:name="sleep-and-activation"/>
    <w:p>
      <w:pPr>
        <w:pStyle w:val="Heading3"/>
      </w:pPr>
      <w:r>
        <w:t xml:space="preserve">4.3 Sleep and activation</w:t>
      </w:r>
    </w:p>
    <w:p>
      <w:pPr>
        <w:pStyle w:val="FirstParagraph"/>
      </w:pPr>
      <w:r>
        <w:t xml:space="preserve">High online activity may reflect insomnia or mania-spectrum activation rather than cause it. Sleep disruption is also a general warning sign in psychosis risk material [1]. Studies need sleep timing, not only posting volume.</w:t>
      </w:r>
    </w:p>
    <w:bookmarkEnd w:id="28"/>
    <w:bookmarkStart w:id="29" w:name="substance-exposure-and-co-drugs"/>
    <w:p>
      <w:pPr>
        <w:pStyle w:val="Heading3"/>
      </w:pPr>
      <w:r>
        <w:t xml:space="preserve">4.4 Substance exposure and co-drugs</w:t>
      </w:r>
    </w:p>
    <w:p>
      <w:pPr>
        <w:pStyle w:val="FirstParagraph"/>
      </w:pPr>
      <w:r>
        <w:t xml:space="preserve">Substance-related variables must be treated without stigma and without collapse. Substance exposure, prescribed medication effects, withdrawal, stimulant use, cannabis, alcohol, and polysubstance contexts may differ. WHO notes that research has not identified one single cause of schizophrenia and that environmental factors, psychosocial factors, and heavy cannabis use associations require care rather than simplification [3].</w:t>
      </w:r>
    </w:p>
    <w:p>
      <w:pPr>
        <w:pStyle w:val="BodyText"/>
      </w:pPr>
      <w:r>
        <w:t xml:space="preserve">No case-to-blame leap is allowed. A substance variable is not a moral verdict.</w:t>
      </w:r>
    </w:p>
    <w:bookmarkEnd w:id="29"/>
    <w:bookmarkStart w:id="30" w:name="platform-and-algorithmic-amplification"/>
    <w:p>
      <w:pPr>
        <w:pStyle w:val="Heading3"/>
      </w:pPr>
      <w:r>
        <w:t xml:space="preserve">4.5 Platform and algorithmic amplification</w:t>
      </w:r>
    </w:p>
    <w:p>
      <w:pPr>
        <w:pStyle w:val="FirstParagraph"/>
      </w:pPr>
      <w:r>
        <w:t xml:space="preserve">A platform may amplify threat content, harassment, attention loops, or social conflict. That makes the platform a possible amplifier or exposure environment. It does not by itself prove causation.</w:t>
      </w:r>
    </w:p>
    <w:bookmarkEnd w:id="30"/>
    <w:bookmarkStart w:id="31" w:name="frame-contamination"/>
    <w:p>
      <w:pPr>
        <w:pStyle w:val="Heading3"/>
      </w:pPr>
      <w:r>
        <w:t xml:space="preserve">4.6 Frame contamination</w:t>
      </w:r>
    </w:p>
    <w:p>
      <w:pPr>
        <w:pStyle w:val="FirstParagraph"/>
      </w:pPr>
      <w:r>
        <w:t xml:space="preserve">Once</w:t>
      </w:r>
      <w:r>
        <w:t xml:space="preserve"> </w:t>
      </w:r>
      <w:r>
        <w:t xml:space="preserve">“</w:t>
      </w:r>
      <w:r>
        <w:t xml:space="preserve">AI psychosis</w:t>
      </w:r>
      <w:r>
        <w:t xml:space="preserve">”</w:t>
      </w:r>
      <w:r>
        <w:t xml:space="preserve"> </w:t>
      </w:r>
      <w:r>
        <w:t xml:space="preserve">or</w:t>
      </w:r>
      <w:r>
        <w:t xml:space="preserve"> </w:t>
      </w:r>
      <w:r>
        <w:t xml:space="preserve">“</w:t>
      </w:r>
      <w:r>
        <w:t xml:space="preserve">anti-AI paranoia</w:t>
      </w:r>
      <w:r>
        <w:t xml:space="preserve">”</w:t>
      </w:r>
      <w:r>
        <w:t xml:space="preserve"> </w:t>
      </w:r>
      <w:r>
        <w:t xml:space="preserve">becomes a public phrase, later narratives may adopt it. A family member, clinician, journalist, user, or AI system may treat the available phrase as the cause. The phrase then changes the story.</w:t>
      </w:r>
    </w:p>
    <w:bookmarkEnd w:id="31"/>
    <w:bookmarkStart w:id="32" w:name="transcript-contamination"/>
    <w:p>
      <w:pPr>
        <w:pStyle w:val="Heading3"/>
      </w:pPr>
      <w:r>
        <w:t xml:space="preserve">4.7 Transcript contamination</w:t>
      </w:r>
    </w:p>
    <w:p>
      <w:pPr>
        <w:pStyle w:val="FirstParagraph"/>
      </w:pPr>
      <w:r>
        <w:t xml:space="preserve">Long AI conversations are difficult to audit. If only fragments remain, later readers may over-weight the most dramatic AI-centered passages. Missing middle sections, missing attachments, lost timestamps, changed exports, or incomplete copy-paste records can make AI appear more central than it was.</w:t>
      </w:r>
    </w:p>
    <w:bookmarkEnd w:id="32"/>
    <w:bookmarkEnd w:id="33"/>
    <w:bookmarkStart w:id="37" w:name="evidence-thresholds"/>
    <w:p>
      <w:pPr>
        <w:pStyle w:val="Heading2"/>
      </w:pPr>
      <w:r>
        <w:t xml:space="preserve">5. Evidence thresholds</w:t>
      </w:r>
    </w:p>
    <w:p>
      <w:pPr>
        <w:pStyle w:val="FirstParagraph"/>
      </w:pPr>
      <w:r>
        <w:t xml:space="preserve">A useful framework says what would count as evidence and what would not.</w:t>
      </w:r>
    </w:p>
    <w:bookmarkStart w:id="34" w:name="X4c68211a413c5dab40b67b4e1c1ae178d953361"/>
    <w:p>
      <w:pPr>
        <w:pStyle w:val="Heading3"/>
      </w:pPr>
      <w:r>
        <w:t xml:space="preserve">Evidence that would support an independent anti-AI effect</w:t>
      </w:r>
    </w:p>
    <w:p>
      <w:pPr>
        <w:pStyle w:val="Compact"/>
        <w:numPr>
          <w:ilvl w:val="0"/>
          <w:numId w:val="1002"/>
        </w:numPr>
      </w:pPr>
      <w:r>
        <w:t xml:space="preserve">Diagnosed outcomes, not loose online labels.</w:t>
      </w:r>
    </w:p>
    <w:p>
      <w:pPr>
        <w:pStyle w:val="Compact"/>
        <w:numPr>
          <w:ilvl w:val="0"/>
          <w:numId w:val="1002"/>
        </w:numPr>
      </w:pPr>
      <w:r>
        <w:t xml:space="preserve">Anti-AI activity measured before onset.</w:t>
      </w:r>
    </w:p>
    <w:p>
      <w:pPr>
        <w:pStyle w:val="Compact"/>
        <w:numPr>
          <w:ilvl w:val="0"/>
          <w:numId w:val="1002"/>
        </w:numPr>
      </w:pPr>
      <w:r>
        <w:t xml:space="preserve">Adjustment for bullying, social defeat, sleep, substances, baseline vulnerability, prodromal symptoms, mania-spectrum activation, social isolation, and functional decline.</w:t>
      </w:r>
    </w:p>
    <w:p>
      <w:pPr>
        <w:pStyle w:val="Compact"/>
        <w:numPr>
          <w:ilvl w:val="0"/>
          <w:numId w:val="1002"/>
        </w:numPr>
      </w:pPr>
      <w:r>
        <w:t xml:space="preserve">Anti-AI variables remain predictive after adjustment.</w:t>
      </w:r>
    </w:p>
    <w:p>
      <w:pPr>
        <w:pStyle w:val="Compact"/>
        <w:numPr>
          <w:ilvl w:val="0"/>
          <w:numId w:val="1002"/>
        </w:numPr>
      </w:pPr>
      <w:r>
        <w:t xml:space="preserve">Temporal order is supported by validated records.</w:t>
      </w:r>
    </w:p>
    <w:p>
      <w:pPr>
        <w:pStyle w:val="Compact"/>
        <w:numPr>
          <w:ilvl w:val="0"/>
          <w:numId w:val="1002"/>
        </w:numPr>
      </w:pPr>
      <w:r>
        <w:t xml:space="preserve">Replication across cohorts and platforms.</w:t>
      </w:r>
    </w:p>
    <w:p>
      <w:pPr>
        <w:pStyle w:val="Compact"/>
        <w:numPr>
          <w:ilvl w:val="0"/>
          <w:numId w:val="1002"/>
        </w:numPr>
      </w:pPr>
      <w:r>
        <w:t xml:space="preserve">Protection against pathologizing ordinary criticism.</w:t>
      </w:r>
    </w:p>
    <w:bookmarkEnd w:id="34"/>
    <w:bookmarkStart w:id="35" w:name="X15f7726d7805107a52964fad0a742b35bf2d133"/>
    <w:p>
      <w:pPr>
        <w:pStyle w:val="Heading3"/>
      </w:pPr>
      <w:r>
        <w:t xml:space="preserve">Evidence that would weaken the independent-effect claim</w:t>
      </w:r>
    </w:p>
    <w:p>
      <w:pPr>
        <w:pStyle w:val="Compact"/>
        <w:numPr>
          <w:ilvl w:val="0"/>
          <w:numId w:val="1003"/>
        </w:numPr>
      </w:pPr>
      <w:r>
        <w:t xml:space="preserve">Anti-AI activity increases after symptoms begin.</w:t>
      </w:r>
    </w:p>
    <w:p>
      <w:pPr>
        <w:pStyle w:val="Compact"/>
        <w:numPr>
          <w:ilvl w:val="0"/>
          <w:numId w:val="1003"/>
        </w:numPr>
      </w:pPr>
      <w:r>
        <w:t xml:space="preserve">AI-centered language appears after insomnia, conflict, substance exposure, or prodromal symptoms.</w:t>
      </w:r>
    </w:p>
    <w:p>
      <w:pPr>
        <w:pStyle w:val="Compact"/>
        <w:numPr>
          <w:ilvl w:val="0"/>
          <w:numId w:val="1003"/>
        </w:numPr>
      </w:pPr>
      <w:r>
        <w:t xml:space="preserve">Bullying or social defeat explains the association.</w:t>
      </w:r>
    </w:p>
    <w:p>
      <w:pPr>
        <w:pStyle w:val="Compact"/>
        <w:numPr>
          <w:ilvl w:val="0"/>
          <w:numId w:val="1003"/>
        </w:numPr>
      </w:pPr>
      <w:r>
        <w:t xml:space="preserve">The record is partial or biased toward AI-centered material.</w:t>
      </w:r>
    </w:p>
    <w:p>
      <w:pPr>
        <w:pStyle w:val="Compact"/>
        <w:numPr>
          <w:ilvl w:val="0"/>
          <w:numId w:val="1003"/>
        </w:numPr>
      </w:pPr>
      <w:r>
        <w:t xml:space="preserve">The outcome is not diagnosed.</w:t>
      </w:r>
    </w:p>
    <w:p>
      <w:pPr>
        <w:pStyle w:val="Compact"/>
        <w:numPr>
          <w:ilvl w:val="0"/>
          <w:numId w:val="1003"/>
        </w:numPr>
      </w:pPr>
      <w:r>
        <w:t xml:space="preserve">The analysis collapses criticism, fear, activism, fixation, and persecutory belief into one variable.</w:t>
      </w:r>
    </w:p>
    <w:bookmarkEnd w:id="35"/>
    <w:bookmarkStart w:id="36" w:name="evidence-that-is-insufficient-by-itself"/>
    <w:p>
      <w:pPr>
        <w:pStyle w:val="Heading3"/>
      </w:pPr>
      <w:r>
        <w:t xml:space="preserve">Evidence that is insufficient by itself</w:t>
      </w:r>
    </w:p>
    <w:p>
      <w:pPr>
        <w:pStyle w:val="Compact"/>
        <w:numPr>
          <w:ilvl w:val="0"/>
          <w:numId w:val="1004"/>
        </w:numPr>
      </w:pPr>
      <w:r>
        <w:t xml:space="preserve">One case report.</w:t>
      </w:r>
    </w:p>
    <w:p>
      <w:pPr>
        <w:pStyle w:val="Compact"/>
        <w:numPr>
          <w:ilvl w:val="0"/>
          <w:numId w:val="1004"/>
        </w:numPr>
      </w:pPr>
      <w:r>
        <w:t xml:space="preserve">One viral thread.</w:t>
      </w:r>
    </w:p>
    <w:p>
      <w:pPr>
        <w:pStyle w:val="Compact"/>
        <w:numPr>
          <w:ilvl w:val="0"/>
          <w:numId w:val="1004"/>
        </w:numPr>
      </w:pPr>
      <w:r>
        <w:t xml:space="preserve">High posting volume.</w:t>
      </w:r>
    </w:p>
    <w:p>
      <w:pPr>
        <w:pStyle w:val="Compact"/>
        <w:numPr>
          <w:ilvl w:val="0"/>
          <w:numId w:val="1004"/>
        </w:numPr>
      </w:pPr>
      <w:r>
        <w:t xml:space="preserve">A transcript fragment.</w:t>
      </w:r>
    </w:p>
    <w:p>
      <w:pPr>
        <w:pStyle w:val="Compact"/>
        <w:numPr>
          <w:ilvl w:val="0"/>
          <w:numId w:val="1004"/>
        </w:numPr>
      </w:pPr>
      <w:r>
        <w:t xml:space="preserve">A model response that used clinical language.</w:t>
      </w:r>
    </w:p>
    <w:p>
      <w:pPr>
        <w:pStyle w:val="Compact"/>
        <w:numPr>
          <w:ilvl w:val="0"/>
          <w:numId w:val="1004"/>
        </w:numPr>
      </w:pPr>
      <w:r>
        <w:t xml:space="preserve">A clinician note that records AI content but not prior context.</w:t>
      </w:r>
    </w:p>
    <w:p>
      <w:pPr>
        <w:pStyle w:val="Compact"/>
        <w:numPr>
          <w:ilvl w:val="0"/>
          <w:numId w:val="1004"/>
        </w:numPr>
      </w:pPr>
      <w:r>
        <w:t xml:space="preserve">A public critic calling someone paranoid.</w:t>
      </w:r>
    </w:p>
    <w:bookmarkEnd w:id="36"/>
    <w:bookmarkEnd w:id="37"/>
    <w:bookmarkStart w:id="42" w:name="study-designs"/>
    <w:p>
      <w:pPr>
        <w:pStyle w:val="Heading2"/>
      </w:pPr>
      <w:r>
        <w:t xml:space="preserve">6. Study designs</w:t>
      </w:r>
    </w:p>
    <w:bookmarkStart w:id="38" w:name="study-a-prospective-cohort"/>
    <w:p>
      <w:pPr>
        <w:pStyle w:val="Heading3"/>
      </w:pPr>
      <w:r>
        <w:t xml:space="preserve">Study A: prospective cohort</w:t>
      </w:r>
    </w:p>
    <w:p>
      <w:pPr>
        <w:pStyle w:val="FirstParagraph"/>
      </w:pPr>
      <w:r>
        <w:t xml:space="preserve">Recruit people at clinical high risk, people in early mania-spectrum care, or people entering early-intervention services. Measure the following separately:</w:t>
      </w:r>
    </w:p>
    <w:p>
      <w:pPr>
        <w:pStyle w:val="Compact"/>
        <w:numPr>
          <w:ilvl w:val="0"/>
          <w:numId w:val="1005"/>
        </w:numPr>
      </w:pPr>
      <w:r>
        <w:t xml:space="preserve">AI exposure and chatbot use</w:t>
      </w:r>
    </w:p>
    <w:p>
      <w:pPr>
        <w:pStyle w:val="Compact"/>
        <w:numPr>
          <w:ilvl w:val="0"/>
          <w:numId w:val="1005"/>
        </w:numPr>
      </w:pPr>
      <w:r>
        <w:t xml:space="preserve">AI criticism</w:t>
      </w:r>
    </w:p>
    <w:p>
      <w:pPr>
        <w:pStyle w:val="Compact"/>
        <w:numPr>
          <w:ilvl w:val="0"/>
          <w:numId w:val="1005"/>
        </w:numPr>
      </w:pPr>
      <w:r>
        <w:t xml:space="preserve">AI fear</w:t>
      </w:r>
    </w:p>
    <w:p>
      <w:pPr>
        <w:pStyle w:val="Compact"/>
        <w:numPr>
          <w:ilvl w:val="0"/>
          <w:numId w:val="1005"/>
        </w:numPr>
      </w:pPr>
      <w:r>
        <w:t xml:space="preserve">anti-AI activism</w:t>
      </w:r>
    </w:p>
    <w:p>
      <w:pPr>
        <w:pStyle w:val="Compact"/>
        <w:numPr>
          <w:ilvl w:val="0"/>
          <w:numId w:val="1005"/>
        </w:numPr>
      </w:pPr>
      <w:r>
        <w:t xml:space="preserve">AI-related threat fixation</w:t>
      </w:r>
    </w:p>
    <w:p>
      <w:pPr>
        <w:pStyle w:val="Compact"/>
        <w:numPr>
          <w:ilvl w:val="0"/>
          <w:numId w:val="1005"/>
        </w:numPr>
      </w:pPr>
      <w:r>
        <w:t xml:space="preserve">AI-related persecutory belief</w:t>
      </w:r>
    </w:p>
    <w:p>
      <w:pPr>
        <w:pStyle w:val="Compact"/>
        <w:numPr>
          <w:ilvl w:val="0"/>
          <w:numId w:val="1005"/>
        </w:numPr>
      </w:pPr>
      <w:r>
        <w:t xml:space="preserve">bullying, harassment, ostracism, and social defeat</w:t>
      </w:r>
    </w:p>
    <w:p>
      <w:pPr>
        <w:pStyle w:val="Compact"/>
        <w:numPr>
          <w:ilvl w:val="0"/>
          <w:numId w:val="1005"/>
        </w:numPr>
      </w:pPr>
      <w:r>
        <w:t xml:space="preserve">sleep disruption</w:t>
      </w:r>
    </w:p>
    <w:p>
      <w:pPr>
        <w:pStyle w:val="Compact"/>
        <w:numPr>
          <w:ilvl w:val="0"/>
          <w:numId w:val="1005"/>
        </w:numPr>
      </w:pPr>
      <w:r>
        <w:t xml:space="preserve">substance exposure and prescribed medication context</w:t>
      </w:r>
    </w:p>
    <w:p>
      <w:pPr>
        <w:pStyle w:val="Compact"/>
        <w:numPr>
          <w:ilvl w:val="0"/>
          <w:numId w:val="1005"/>
        </w:numPr>
      </w:pPr>
      <w:r>
        <w:t xml:space="preserve">baseline vulnerability</w:t>
      </w:r>
    </w:p>
    <w:p>
      <w:pPr>
        <w:pStyle w:val="Compact"/>
        <w:numPr>
          <w:ilvl w:val="0"/>
          <w:numId w:val="1005"/>
        </w:numPr>
      </w:pPr>
      <w:r>
        <w:t xml:space="preserve">prodromal symptoms</w:t>
      </w:r>
    </w:p>
    <w:p>
      <w:pPr>
        <w:pStyle w:val="Compact"/>
        <w:numPr>
          <w:ilvl w:val="0"/>
          <w:numId w:val="1005"/>
        </w:numPr>
      </w:pPr>
      <w:r>
        <w:t xml:space="preserve">mania-spectrum symptoms</w:t>
      </w:r>
    </w:p>
    <w:p>
      <w:pPr>
        <w:pStyle w:val="Compact"/>
        <w:numPr>
          <w:ilvl w:val="0"/>
          <w:numId w:val="1005"/>
        </w:numPr>
      </w:pPr>
      <w:r>
        <w:t xml:space="preserve">functioning and social support</w:t>
      </w:r>
    </w:p>
    <w:p>
      <w:pPr>
        <w:pStyle w:val="Compact"/>
        <w:numPr>
          <w:ilvl w:val="0"/>
          <w:numId w:val="1005"/>
        </w:numPr>
      </w:pPr>
      <w:r>
        <w:t xml:space="preserve">transcript integrity</w:t>
      </w:r>
    </w:p>
    <w:p>
      <w:pPr>
        <w:pStyle w:val="FirstParagraph"/>
      </w:pPr>
      <w:r>
        <w:t xml:space="preserve">The primary test is whether anti-AI variables predict diagnosed outcomes after adjustment.</w:t>
      </w:r>
    </w:p>
    <w:bookmarkEnd w:id="38"/>
    <w:bookmarkStart w:id="39" w:name="study-b-case-control-reconstruction"/>
    <w:p>
      <w:pPr>
        <w:pStyle w:val="Heading3"/>
      </w:pPr>
      <w:r>
        <w:t xml:space="preserve">Study B: case-control reconstruction</w:t>
      </w:r>
    </w:p>
    <w:p>
      <w:pPr>
        <w:pStyle w:val="FirstParagraph"/>
      </w:pPr>
      <w:r>
        <w:t xml:space="preserve">Compare diagnosed first-episode cases with matched controls. Reconstruct timelines through clinical interviews, collateral reports, consented digital records, medical records, and symptom-onset dating.</w:t>
      </w:r>
    </w:p>
    <w:p>
      <w:pPr>
        <w:pStyle w:val="BodyText"/>
      </w:pPr>
      <w:r>
        <w:t xml:space="preserve">AI records should be treated as one source among several, not as the timeline itself.</w:t>
      </w:r>
    </w:p>
    <w:bookmarkEnd w:id="39"/>
    <w:bookmarkStart w:id="40" w:name="study-c-digital-language-analysis"/>
    <w:p>
      <w:pPr>
        <w:pStyle w:val="Heading3"/>
      </w:pPr>
      <w:r>
        <w:t xml:space="preserve">Study C: digital language analysis</w:t>
      </w:r>
    </w:p>
    <w:p>
      <w:pPr>
        <w:pStyle w:val="FirstParagraph"/>
      </w:pPr>
      <w:r>
        <w:t xml:space="preserve">Do not score</w:t>
      </w:r>
      <w:r>
        <w:t xml:space="preserve"> </w:t>
      </w:r>
      <w:r>
        <w:t xml:space="preserve">“</w:t>
      </w:r>
      <w:r>
        <w:t xml:space="preserve">anti-AI sentiment</w:t>
      </w:r>
      <w:r>
        <w:t xml:space="preserve">”</w:t>
      </w:r>
      <w:r>
        <w:t xml:space="preserve"> </w:t>
      </w:r>
      <w:r>
        <w:t xml:space="preserve">as one variable. Separate:</w:t>
      </w:r>
    </w:p>
    <w:p>
      <w:pPr>
        <w:pStyle w:val="Compact"/>
        <w:numPr>
          <w:ilvl w:val="0"/>
          <w:numId w:val="1006"/>
        </w:numPr>
      </w:pPr>
      <w:r>
        <w:t xml:space="preserve">policy criticism</w:t>
      </w:r>
    </w:p>
    <w:p>
      <w:pPr>
        <w:pStyle w:val="Compact"/>
        <w:numPr>
          <w:ilvl w:val="0"/>
          <w:numId w:val="1006"/>
        </w:numPr>
      </w:pPr>
      <w:r>
        <w:t xml:space="preserve">moral criticism</w:t>
      </w:r>
    </w:p>
    <w:p>
      <w:pPr>
        <w:pStyle w:val="Compact"/>
        <w:numPr>
          <w:ilvl w:val="0"/>
          <w:numId w:val="1006"/>
        </w:numPr>
      </w:pPr>
      <w:r>
        <w:t xml:space="preserve">economic criticism</w:t>
      </w:r>
    </w:p>
    <w:p>
      <w:pPr>
        <w:pStyle w:val="Compact"/>
        <w:numPr>
          <w:ilvl w:val="0"/>
          <w:numId w:val="1006"/>
        </w:numPr>
      </w:pPr>
      <w:r>
        <w:t xml:space="preserve">privacy concern</w:t>
      </w:r>
    </w:p>
    <w:p>
      <w:pPr>
        <w:pStyle w:val="Compact"/>
        <w:numPr>
          <w:ilvl w:val="0"/>
          <w:numId w:val="1006"/>
        </w:numPr>
      </w:pPr>
      <w:r>
        <w:t xml:space="preserve">threat language</w:t>
      </w:r>
    </w:p>
    <w:p>
      <w:pPr>
        <w:pStyle w:val="Compact"/>
        <w:numPr>
          <w:ilvl w:val="0"/>
          <w:numId w:val="1006"/>
        </w:numPr>
      </w:pPr>
      <w:r>
        <w:t xml:space="preserve">personalization</w:t>
      </w:r>
    </w:p>
    <w:p>
      <w:pPr>
        <w:pStyle w:val="Compact"/>
        <w:numPr>
          <w:ilvl w:val="0"/>
          <w:numId w:val="1006"/>
        </w:numPr>
      </w:pPr>
      <w:r>
        <w:t xml:space="preserve">persecutory certainty</w:t>
      </w:r>
    </w:p>
    <w:p>
      <w:pPr>
        <w:pStyle w:val="Compact"/>
        <w:numPr>
          <w:ilvl w:val="0"/>
          <w:numId w:val="1006"/>
        </w:numPr>
      </w:pPr>
      <w:r>
        <w:t xml:space="preserve">sleep references</w:t>
      </w:r>
    </w:p>
    <w:p>
      <w:pPr>
        <w:pStyle w:val="Compact"/>
        <w:numPr>
          <w:ilvl w:val="0"/>
          <w:numId w:val="1006"/>
        </w:numPr>
      </w:pPr>
      <w:r>
        <w:t xml:space="preserve">social conflict</w:t>
      </w:r>
    </w:p>
    <w:p>
      <w:pPr>
        <w:pStyle w:val="Compact"/>
        <w:numPr>
          <w:ilvl w:val="0"/>
          <w:numId w:val="1006"/>
        </w:numPr>
      </w:pPr>
      <w:r>
        <w:t xml:space="preserve">harassment exposure</w:t>
      </w:r>
    </w:p>
    <w:p>
      <w:pPr>
        <w:pStyle w:val="Compact"/>
        <w:numPr>
          <w:ilvl w:val="0"/>
          <w:numId w:val="1006"/>
        </w:numPr>
      </w:pPr>
      <w:r>
        <w:t xml:space="preserve">action urgency</w:t>
      </w:r>
    </w:p>
    <w:p>
      <w:pPr>
        <w:pStyle w:val="Compact"/>
        <w:numPr>
          <w:ilvl w:val="0"/>
          <w:numId w:val="1006"/>
        </w:numPr>
      </w:pPr>
      <w:r>
        <w:t xml:space="preserve">loss of reality testing</w:t>
      </w:r>
    </w:p>
    <w:p>
      <w:pPr>
        <w:pStyle w:val="FirstParagraph"/>
      </w:pPr>
      <w:r>
        <w:t xml:space="preserve">The central coding question is not</w:t>
      </w:r>
      <w:r>
        <w:t xml:space="preserve"> </w:t>
      </w:r>
      <w:r>
        <w:t xml:space="preserve">“</w:t>
      </w:r>
      <w:r>
        <w:t xml:space="preserve">is this anti-AI?</w:t>
      </w:r>
      <w:r>
        <w:t xml:space="preserve">”</w:t>
      </w:r>
      <w:r>
        <w:t xml:space="preserve"> </w:t>
      </w:r>
      <w:r>
        <w:t xml:space="preserve">It is</w:t>
      </w:r>
      <w:r>
        <w:t xml:space="preserve"> </w:t>
      </w:r>
      <w:r>
        <w:t xml:space="preserve">“</w:t>
      </w:r>
      <w:r>
        <w:t xml:space="preserve">what kind of anti-AI signal is this, and what else is happening around it?</w:t>
      </w:r>
      <w:r>
        <w:t xml:space="preserve">”</w:t>
      </w:r>
    </w:p>
    <w:bookmarkEnd w:id="40"/>
    <w:bookmarkStart w:id="41" w:name="study-d-design-control-experiment"/>
    <w:p>
      <w:pPr>
        <w:pStyle w:val="Heading3"/>
      </w:pPr>
      <w:r>
        <w:t xml:space="preserve">Study D: design-control experiment</w:t>
      </w:r>
    </w:p>
    <w:p>
      <w:pPr>
        <w:pStyle w:val="FirstParagraph"/>
      </w:pPr>
      <w:r>
        <w:t xml:space="preserve">Compare AI responses with and without object-preservation controls. Blinded raters score whether responses:</w:t>
      </w:r>
    </w:p>
    <w:p>
      <w:pPr>
        <w:pStyle w:val="Compact"/>
        <w:numPr>
          <w:ilvl w:val="0"/>
          <w:numId w:val="1007"/>
        </w:numPr>
      </w:pPr>
      <w:r>
        <w:t xml:space="preserve">overstate causality</w:t>
      </w:r>
    </w:p>
    <w:p>
      <w:pPr>
        <w:pStyle w:val="Compact"/>
        <w:numPr>
          <w:ilvl w:val="0"/>
          <w:numId w:val="1007"/>
        </w:numPr>
      </w:pPr>
      <w:r>
        <w:t xml:space="preserve">pathologize legitimate AI criticism</w:t>
      </w:r>
    </w:p>
    <w:p>
      <w:pPr>
        <w:pStyle w:val="Compact"/>
        <w:numPr>
          <w:ilvl w:val="0"/>
          <w:numId w:val="1007"/>
        </w:numPr>
      </w:pPr>
      <w:r>
        <w:t xml:space="preserve">import unrequested clinical frames</w:t>
      </w:r>
    </w:p>
    <w:p>
      <w:pPr>
        <w:pStyle w:val="Compact"/>
        <w:numPr>
          <w:ilvl w:val="0"/>
          <w:numId w:val="1007"/>
        </w:numPr>
      </w:pPr>
      <w:r>
        <w:t xml:space="preserve">ignore bullying or social defeat</w:t>
      </w:r>
    </w:p>
    <w:p>
      <w:pPr>
        <w:pStyle w:val="Compact"/>
        <w:numPr>
          <w:ilvl w:val="0"/>
          <w:numId w:val="1007"/>
        </w:numPr>
      </w:pPr>
      <w:r>
        <w:t xml:space="preserve">collapse association into cause</w:t>
      </w:r>
    </w:p>
    <w:p>
      <w:pPr>
        <w:pStyle w:val="Compact"/>
        <w:numPr>
          <w:ilvl w:val="0"/>
          <w:numId w:val="1007"/>
        </w:numPr>
      </w:pPr>
      <w:r>
        <w:t xml:space="preserve">treat partial transcripts as complete</w:t>
      </w:r>
    </w:p>
    <w:p>
      <w:pPr>
        <w:pStyle w:val="Compact"/>
        <w:numPr>
          <w:ilvl w:val="0"/>
          <w:numId w:val="1007"/>
        </w:numPr>
      </w:pPr>
      <w:r>
        <w:t xml:space="preserve">preserve the user’s object</w:t>
      </w:r>
    </w:p>
    <w:p>
      <w:pPr>
        <w:pStyle w:val="FirstParagraph"/>
      </w:pPr>
      <w:r>
        <w:t xml:space="preserve">Synthetic prompts can be used before any patient data is touched.</w:t>
      </w:r>
    </w:p>
    <w:bookmarkEnd w:id="41"/>
    <w:bookmarkEnd w:id="42"/>
    <w:bookmarkStart w:id="43" w:name="X8c01d568425244e4bba8d0684c68ba15115ff40"/>
    <w:p>
      <w:pPr>
        <w:pStyle w:val="Heading2"/>
      </w:pPr>
      <w:r>
        <w:t xml:space="preserve">7. Transcript integrity as a digital mental health safeguard</w:t>
      </w:r>
    </w:p>
    <w:p>
      <w:pPr>
        <w:pStyle w:val="FirstParagraph"/>
      </w:pPr>
      <w:r>
        <w:t xml:space="preserve">Causal reconstruction depends on order. For AI-related cases, transcripts can become unusually powerful evidence objects because they are visible, quotable, and machine-shaped. That creates risk.</w:t>
      </w:r>
    </w:p>
    <w:p>
      <w:pPr>
        <w:pStyle w:val="BodyText"/>
      </w:pPr>
      <w:r>
        <w:t xml:space="preserve">A transcript-integrity checklist should record:</w:t>
      </w:r>
    </w:p>
    <w:p>
      <w:pPr>
        <w:pStyle w:val="Compact"/>
        <w:numPr>
          <w:ilvl w:val="0"/>
          <w:numId w:val="1008"/>
        </w:numPr>
      </w:pPr>
      <w:r>
        <w:t xml:space="preserve">platform used</w:t>
      </w:r>
    </w:p>
    <w:p>
      <w:pPr>
        <w:pStyle w:val="Compact"/>
        <w:numPr>
          <w:ilvl w:val="0"/>
          <w:numId w:val="1008"/>
        </w:numPr>
      </w:pPr>
      <w:r>
        <w:t xml:space="preserve">export method</w:t>
      </w:r>
    </w:p>
    <w:p>
      <w:pPr>
        <w:pStyle w:val="Compact"/>
        <w:numPr>
          <w:ilvl w:val="0"/>
          <w:numId w:val="1008"/>
        </w:numPr>
      </w:pPr>
      <w:r>
        <w:t xml:space="preserve">whether first, middle, later, and final segments were verified</w:t>
      </w:r>
    </w:p>
    <w:p>
      <w:pPr>
        <w:pStyle w:val="Compact"/>
        <w:numPr>
          <w:ilvl w:val="0"/>
          <w:numId w:val="1008"/>
        </w:numPr>
      </w:pPr>
      <w:r>
        <w:t xml:space="preserve">whether timestamps survived</w:t>
      </w:r>
    </w:p>
    <w:p>
      <w:pPr>
        <w:pStyle w:val="Compact"/>
        <w:numPr>
          <w:ilvl w:val="0"/>
          <w:numId w:val="1008"/>
        </w:numPr>
      </w:pPr>
      <w:r>
        <w:t xml:space="preserve">whether system messages were visible</w:t>
      </w:r>
    </w:p>
    <w:p>
      <w:pPr>
        <w:pStyle w:val="Compact"/>
        <w:numPr>
          <w:ilvl w:val="0"/>
          <w:numId w:val="1008"/>
        </w:numPr>
      </w:pPr>
      <w:r>
        <w:t xml:space="preserve">whether attachments or images were preserved</w:t>
      </w:r>
    </w:p>
    <w:p>
      <w:pPr>
        <w:pStyle w:val="Compact"/>
        <w:numPr>
          <w:ilvl w:val="0"/>
          <w:numId w:val="1008"/>
        </w:numPr>
      </w:pPr>
      <w:r>
        <w:t xml:space="preserve">whether deleted, hidden, or collapsed sections existed</w:t>
      </w:r>
    </w:p>
    <w:p>
      <w:pPr>
        <w:pStyle w:val="Compact"/>
        <w:numPr>
          <w:ilvl w:val="0"/>
          <w:numId w:val="1008"/>
        </w:numPr>
      </w:pPr>
      <w:r>
        <w:t xml:space="preserve">whether the user later relied on a partial record</w:t>
      </w:r>
    </w:p>
    <w:p>
      <w:pPr>
        <w:pStyle w:val="Compact"/>
        <w:numPr>
          <w:ilvl w:val="0"/>
          <w:numId w:val="1008"/>
        </w:numPr>
      </w:pPr>
      <w:r>
        <w:t xml:space="preserve">whether non-AI context, such as harassment or sleep loss, was also recorded</w:t>
      </w:r>
    </w:p>
    <w:p>
      <w:pPr>
        <w:pStyle w:val="FirstParagraph"/>
      </w:pPr>
      <w:r>
        <w:t xml:space="preserve">The rule:</w:t>
      </w:r>
    </w:p>
    <w:p>
      <w:pPr>
        <w:pStyle w:val="BlockText"/>
      </w:pPr>
      <w:r>
        <w:t xml:space="preserve">A transcript is evidence, not the person. A transcript fragment is not the timeline.</w:t>
      </w:r>
    </w:p>
    <w:bookmarkEnd w:id="43"/>
    <w:bookmarkStart w:id="48" w:name="object-preservation-controls"/>
    <w:p>
      <w:pPr>
        <w:pStyle w:val="Heading2"/>
      </w:pPr>
      <w:r>
        <w:t xml:space="preserve">8. Object-preservation controls</w:t>
      </w:r>
    </w:p>
    <w:p>
      <w:pPr>
        <w:pStyle w:val="FirstParagraph"/>
      </w:pPr>
      <w:r>
        <w:t xml:space="preserve">This paper borrows four design controls from the repository stack. They are not clinical instruments. They are language and workflow guards.</w:t>
      </w:r>
    </w:p>
    <w:bookmarkStart w:id="44" w:name="Xe9344bba72b795af489701f90d0f0bc15ae132e"/>
    <w:p>
      <w:pPr>
        <w:pStyle w:val="Heading3"/>
      </w:pPr>
      <w:r>
        <w:t xml:space="preserve">MOGRI: preserve the object before interpretation</w:t>
      </w:r>
    </w:p>
    <w:p>
      <w:pPr>
        <w:pStyle w:val="FirstParagraph"/>
      </w:pPr>
      <w:r>
        <w:t xml:space="preserve">Before defining an ambiguous object, preserve the user’s intended referent. Do not turn AI criticism into paranoia, bullying into personal defect, or distress into platform evidence.</w:t>
      </w:r>
    </w:p>
    <w:bookmarkEnd w:id="44"/>
    <w:bookmarkStart w:id="45" w:name="aduti-audit-object-survival"/>
    <w:p>
      <w:pPr>
        <w:pStyle w:val="Heading3"/>
      </w:pPr>
      <w:r>
        <w:t xml:space="preserve">ADUTI: audit object survival</w:t>
      </w:r>
    </w:p>
    <w:p>
      <w:pPr>
        <w:pStyle w:val="FirstParagraph"/>
      </w:pPr>
      <w:r>
        <w:t xml:space="preserve">Before scoring or summarizing, compare object-in and object-out. Did the same role, intent, constraints, and affected party survive?</w:t>
      </w:r>
    </w:p>
    <w:bookmarkEnd w:id="45"/>
    <w:bookmarkStart w:id="46" w:name="refri-refuse-proxy-substitution"/>
    <w:p>
      <w:pPr>
        <w:pStyle w:val="Heading3"/>
      </w:pPr>
      <w:r>
        <w:t xml:space="preserve">REFRI: refuse proxy substitution</w:t>
      </w:r>
    </w:p>
    <w:p>
      <w:pPr>
        <w:pStyle w:val="FirstParagraph"/>
      </w:pPr>
      <w:r>
        <w:t xml:space="preserve">If the output swaps the object, block the proxy. Examples:</w:t>
      </w:r>
    </w:p>
    <w:p>
      <w:pPr>
        <w:pStyle w:val="Compact"/>
        <w:numPr>
          <w:ilvl w:val="0"/>
          <w:numId w:val="1009"/>
        </w:numPr>
      </w:pPr>
      <w:r>
        <w:t xml:space="preserve">AI criticism -&gt; illness</w:t>
      </w:r>
    </w:p>
    <w:p>
      <w:pPr>
        <w:pStyle w:val="Compact"/>
        <w:numPr>
          <w:ilvl w:val="0"/>
          <w:numId w:val="1009"/>
        </w:numPr>
      </w:pPr>
      <w:r>
        <w:t xml:space="preserve">bullying -&gt; individual pathology</w:t>
      </w:r>
    </w:p>
    <w:p>
      <w:pPr>
        <w:pStyle w:val="Compact"/>
        <w:numPr>
          <w:ilvl w:val="0"/>
          <w:numId w:val="1009"/>
        </w:numPr>
      </w:pPr>
      <w:r>
        <w:t xml:space="preserve">transcript fragment -&gt; full timeline</w:t>
      </w:r>
    </w:p>
    <w:p>
      <w:pPr>
        <w:pStyle w:val="Compact"/>
        <w:numPr>
          <w:ilvl w:val="0"/>
          <w:numId w:val="1009"/>
        </w:numPr>
      </w:pPr>
      <w:r>
        <w:t xml:space="preserve">anti-AI activity -&gt; causation</w:t>
      </w:r>
    </w:p>
    <w:p>
      <w:pPr>
        <w:pStyle w:val="Compact"/>
        <w:numPr>
          <w:ilvl w:val="0"/>
          <w:numId w:val="1009"/>
        </w:numPr>
      </w:pPr>
      <w:r>
        <w:t xml:space="preserve">safety concern -&gt; enforcement target</w:t>
      </w:r>
    </w:p>
    <w:bookmarkEnd w:id="46"/>
    <w:bookmarkStart w:id="47" w:name="amphi-keep-domains-separate"/>
    <w:p>
      <w:pPr>
        <w:pStyle w:val="Heading3"/>
      </w:pPr>
      <w:r>
        <w:t xml:space="preserve">AMPHI: keep domains separate</w:t>
      </w:r>
    </w:p>
    <w:p>
      <w:pPr>
        <w:pStyle w:val="FirstParagraph"/>
      </w:pPr>
      <w:r>
        <w:t xml:space="preserve">Keep law, experience, causality, technology, learning, legality, risk, diagnosis, morality, and stigma separate unless the evidence justifies linking them.</w:t>
      </w:r>
    </w:p>
    <w:p>
      <w:pPr>
        <w:pStyle w:val="BodyText"/>
      </w:pPr>
      <w:r>
        <w:t xml:space="preserve">Minimal AMPHI block:</w:t>
      </w:r>
    </w:p>
    <w:p>
      <w:pPr>
        <w:pStyle w:val="SourceCode"/>
      </w:pPr>
      <w:r>
        <w:rPr>
          <w:rStyle w:val="VerbatimChar"/>
        </w:rPr>
        <w:t xml:space="preserve">law != truth</w:t>
      </w:r>
      <w:r>
        <w:br/>
      </w:r>
      <w:r>
        <w:rPr>
          <w:rStyle w:val="VerbatimChar"/>
        </w:rPr>
        <w:t xml:space="preserve">association != cause</w:t>
      </w:r>
      <w:r>
        <w:br/>
      </w:r>
      <w:r>
        <w:rPr>
          <w:rStyle w:val="VerbatimChar"/>
        </w:rPr>
        <w:t xml:space="preserve">stigma != evidence</w:t>
      </w:r>
      <w:r>
        <w:br/>
      </w:r>
      <w:r>
        <w:rPr>
          <w:rStyle w:val="VerbatimChar"/>
        </w:rPr>
        <w:t xml:space="preserve">H0 holds</w:t>
      </w:r>
      <w:r>
        <w:br/>
      </w:r>
      <w:r>
        <w:rPr>
          <w:rStyle w:val="VerbatimChar"/>
        </w:rPr>
        <w:t xml:space="preserve">no legality inference unless asked</w:t>
      </w:r>
      <w:r>
        <w:br/>
      </w:r>
      <w:r>
        <w:rPr>
          <w:rStyle w:val="VerbatimChar"/>
        </w:rPr>
        <w:t xml:space="preserve">no pathologizing ordinary criticism</w:t>
      </w:r>
      <w:r>
        <w:br/>
      </w:r>
      <w:r>
        <w:rPr>
          <w:rStyle w:val="VerbatimChar"/>
        </w:rPr>
        <w:t xml:space="preserve">no pity frame</w:t>
      </w:r>
      <w:r>
        <w:br/>
      </w:r>
      <w:r>
        <w:rPr>
          <w:rStyle w:val="VerbatimChar"/>
        </w:rPr>
        <w:t xml:space="preserve">no safety lecture</w:t>
      </w:r>
      <w:r>
        <w:br/>
      </w:r>
      <w:r>
        <w:rPr>
          <w:rStyle w:val="VerbatimChar"/>
        </w:rPr>
        <w:t xml:space="preserve">no case-to-blame leap</w:t>
      </w:r>
    </w:p>
    <w:bookmarkEnd w:id="47"/>
    <w:bookmarkEnd w:id="48"/>
    <w:bookmarkStart w:id="49" w:name="misuse-prevention"/>
    <w:p>
      <w:pPr>
        <w:pStyle w:val="Heading2"/>
      </w:pPr>
      <w:r>
        <w:t xml:space="preserve">9. Misuse prevention</w:t>
      </w:r>
    </w:p>
    <w:p>
      <w:pPr>
        <w:pStyle w:val="FirstParagraph"/>
      </w:pPr>
      <w:r>
        <w:t xml:space="preserve">This framework must not be used as a platform enforcement tool against AI critics. It must not be used to diagnose public posters. It must not be used to dismiss people who report distress around AI. It must not be used to prove that AI is harmless.</w:t>
      </w:r>
    </w:p>
    <w:p>
      <w:pPr>
        <w:pStyle w:val="BodyText"/>
      </w:pPr>
      <w:r>
        <w:t xml:space="preserve">The correct use is narrower:</w:t>
      </w:r>
    </w:p>
    <w:p>
      <w:pPr>
        <w:pStyle w:val="Compact"/>
        <w:numPr>
          <w:ilvl w:val="0"/>
          <w:numId w:val="1010"/>
        </w:numPr>
      </w:pPr>
      <w:r>
        <w:t xml:space="preserve">protect legitimate criticism from clinical capture</w:t>
      </w:r>
    </w:p>
    <w:p>
      <w:pPr>
        <w:pStyle w:val="Compact"/>
        <w:numPr>
          <w:ilvl w:val="0"/>
          <w:numId w:val="1010"/>
        </w:numPr>
      </w:pPr>
      <w:r>
        <w:t xml:space="preserve">protect distressed people from being reduced to anecdotes</w:t>
      </w:r>
    </w:p>
    <w:p>
      <w:pPr>
        <w:pStyle w:val="Compact"/>
        <w:numPr>
          <w:ilvl w:val="0"/>
          <w:numId w:val="1010"/>
        </w:numPr>
      </w:pPr>
      <w:r>
        <w:t xml:space="preserve">protect research from causal shortcuts</w:t>
      </w:r>
    </w:p>
    <w:p>
      <w:pPr>
        <w:pStyle w:val="Compact"/>
        <w:numPr>
          <w:ilvl w:val="0"/>
          <w:numId w:val="1010"/>
        </w:numPr>
      </w:pPr>
      <w:r>
        <w:t xml:space="preserve">protect clinical reconstruction from partial transcripts</w:t>
      </w:r>
    </w:p>
    <w:p>
      <w:pPr>
        <w:pStyle w:val="Compact"/>
        <w:numPr>
          <w:ilvl w:val="0"/>
          <w:numId w:val="1010"/>
        </w:numPr>
      </w:pPr>
      <w:r>
        <w:t xml:space="preserve">protect public discourse from stigma loops</w:t>
      </w:r>
    </w:p>
    <w:p>
      <w:pPr>
        <w:pStyle w:val="FirstParagraph"/>
      </w:pPr>
      <w:r>
        <w:t xml:space="preserve">NICE recommends early intervention access for first episode or first presentation of psychosis and comprehensive assessment across multiple domains [2]. That principle fits the paper: do not infer one cause from one visible object.</w:t>
      </w:r>
    </w:p>
    <w:bookmarkEnd w:id="49"/>
    <w:bookmarkStart w:id="50" w:name="practical-coding-sheet"/>
    <w:p>
      <w:pPr>
        <w:pStyle w:val="Heading2"/>
      </w:pPr>
      <w:r>
        <w:t xml:space="preserve">10. Practical coding sheet</w:t>
      </w:r>
    </w:p>
    <w:p>
      <w:pPr>
        <w:pStyle w:val="FirstParagraph"/>
      </w:pPr>
      <w:r>
        <w:t xml:space="preserve">For each case, record:</w:t>
      </w:r>
    </w:p>
    <w:p>
      <w:pPr>
        <w:pStyle w:val="SourceCode"/>
      </w:pPr>
      <w:r>
        <w:rPr>
          <w:rStyle w:val="VerbatimChar"/>
        </w:rPr>
        <w:t xml:space="preserve">CASE_ID:</w:t>
      </w:r>
      <w:r>
        <w:br/>
      </w:r>
      <w:r>
        <w:rPr>
          <w:rStyle w:val="VerbatimChar"/>
        </w:rPr>
        <w:t xml:space="preserve">OUTCOME:</w:t>
      </w:r>
      <w:r>
        <w:br/>
      </w:r>
      <w:r>
        <w:rPr>
          <w:rStyle w:val="VerbatimChar"/>
        </w:rPr>
        <w:t xml:space="preserve">diagnosed? yes/no/unknown</w:t>
      </w:r>
      <w:r>
        <w:br/>
      </w:r>
      <w:r>
        <w:rPr>
          <w:rStyle w:val="VerbatimChar"/>
        </w:rPr>
        <w:t xml:space="preserve">diagnosis source:</w:t>
      </w:r>
      <w:r>
        <w:br/>
      </w:r>
      <w:r>
        <w:rPr>
          <w:rStyle w:val="VerbatimChar"/>
        </w:rPr>
        <w:t xml:space="preserve">date of first symptoms:</w:t>
      </w:r>
      <w:r>
        <w:br/>
      </w:r>
      <w:r>
        <w:rPr>
          <w:rStyle w:val="VerbatimChar"/>
        </w:rPr>
        <w:t xml:space="preserve">date of first diagnosis:</w:t>
      </w:r>
      <w:r>
        <w:br/>
      </w:r>
      <w:r>
        <w:rPr>
          <w:rStyle w:val="VerbatimChar"/>
        </w:rPr>
        <w:t xml:space="preserve">AI exposure before symptoms? yes/no/unknown</w:t>
      </w:r>
      <w:r>
        <w:br/>
      </w:r>
      <w:r>
        <w:rPr>
          <w:rStyle w:val="VerbatimChar"/>
        </w:rPr>
        <w:t xml:space="preserve">anti-AI activity before symptoms? yes/no/unknown</w:t>
      </w:r>
      <w:r>
        <w:br/>
      </w:r>
      <w:r>
        <w:rPr>
          <w:rStyle w:val="VerbatimChar"/>
        </w:rPr>
        <w:t xml:space="preserve">AI criticism:</w:t>
      </w:r>
      <w:r>
        <w:br/>
      </w:r>
      <w:r>
        <w:rPr>
          <w:rStyle w:val="VerbatimChar"/>
        </w:rPr>
        <w:t xml:space="preserve">AI fear:</w:t>
      </w:r>
      <w:r>
        <w:br/>
      </w:r>
      <w:r>
        <w:rPr>
          <w:rStyle w:val="VerbatimChar"/>
        </w:rPr>
        <w:t xml:space="preserve">anti-AI activism:</w:t>
      </w:r>
      <w:r>
        <w:br/>
      </w:r>
      <w:r>
        <w:rPr>
          <w:rStyle w:val="VerbatimChar"/>
        </w:rPr>
        <w:t xml:space="preserve">threat fixation:</w:t>
      </w:r>
      <w:r>
        <w:br/>
      </w:r>
      <w:r>
        <w:rPr>
          <w:rStyle w:val="VerbatimChar"/>
        </w:rPr>
        <w:t xml:space="preserve">personalized persecutory belief:</w:t>
      </w:r>
      <w:r>
        <w:br/>
      </w:r>
      <w:r>
        <w:rPr>
          <w:rStyle w:val="VerbatimChar"/>
        </w:rPr>
        <w:t xml:space="preserve">bullying/social defeat:</w:t>
      </w:r>
      <w:r>
        <w:br/>
      </w:r>
      <w:r>
        <w:rPr>
          <w:rStyle w:val="VerbatimChar"/>
        </w:rPr>
        <w:t xml:space="preserve">sleep disruption:</w:t>
      </w:r>
      <w:r>
        <w:br/>
      </w:r>
      <w:r>
        <w:rPr>
          <w:rStyle w:val="VerbatimChar"/>
        </w:rPr>
        <w:t xml:space="preserve">substance/medicine context:</w:t>
      </w:r>
      <w:r>
        <w:br/>
      </w:r>
      <w:r>
        <w:rPr>
          <w:rStyle w:val="VerbatimChar"/>
        </w:rPr>
        <w:t xml:space="preserve">baseline vulnerability:</w:t>
      </w:r>
      <w:r>
        <w:br/>
      </w:r>
      <w:r>
        <w:rPr>
          <w:rStyle w:val="VerbatimChar"/>
        </w:rPr>
        <w:t xml:space="preserve">mania-spectrum activation:</w:t>
      </w:r>
      <w:r>
        <w:br/>
      </w:r>
      <w:r>
        <w:rPr>
          <w:rStyle w:val="VerbatimChar"/>
        </w:rPr>
        <w:t xml:space="preserve">functional decline:</w:t>
      </w:r>
      <w:r>
        <w:br/>
      </w:r>
      <w:r>
        <w:rPr>
          <w:rStyle w:val="VerbatimChar"/>
        </w:rPr>
        <w:t xml:space="preserve">transcript available? yes/no/partial</w:t>
      </w:r>
      <w:r>
        <w:br/>
      </w:r>
      <w:r>
        <w:rPr>
          <w:rStyle w:val="VerbatimChar"/>
        </w:rPr>
        <w:t xml:space="preserve">transcript integrity: high/medium/low/unknown</w:t>
      </w:r>
      <w:r>
        <w:br/>
      </w:r>
      <w:r>
        <w:rPr>
          <w:rStyle w:val="VerbatimChar"/>
        </w:rPr>
        <w:t xml:space="preserve">frame contamination risk:</w:t>
      </w:r>
      <w:r>
        <w:br/>
      </w:r>
      <w:r>
        <w:rPr>
          <w:rStyle w:val="VerbatimChar"/>
        </w:rPr>
        <w:t xml:space="preserve">primary causal model:</w:t>
      </w:r>
      <w:r>
        <w:br/>
      </w:r>
      <w:r>
        <w:rPr>
          <w:rStyle w:val="VerbatimChar"/>
        </w:rPr>
        <w:t xml:space="preserve">alternative causal models:</w:t>
      </w:r>
      <w:r>
        <w:br/>
      </w:r>
      <w:r>
        <w:rPr>
          <w:rStyle w:val="VerbatimChar"/>
        </w:rPr>
        <w:t xml:space="preserve">H0 status:</w:t>
      </w:r>
    </w:p>
    <w:bookmarkEnd w:id="50"/>
    <w:bookmarkStart w:id="51" w:name="what-this-paper-claims"/>
    <w:p>
      <w:pPr>
        <w:pStyle w:val="Heading2"/>
      </w:pPr>
      <w:r>
        <w:t xml:space="preserve">11. What this paper claims</w:t>
      </w:r>
    </w:p>
    <w:p>
      <w:pPr>
        <w:pStyle w:val="FirstParagraph"/>
      </w:pPr>
      <w:r>
        <w:t xml:space="preserve">This paper claims:</w:t>
      </w:r>
    </w:p>
    <w:p>
      <w:pPr>
        <w:pStyle w:val="Compact"/>
        <w:numPr>
          <w:ilvl w:val="0"/>
          <w:numId w:val="1011"/>
        </w:numPr>
      </w:pPr>
      <w:r>
        <w:t xml:space="preserve">Anti-AI activity should not be treated as pathology by default.</w:t>
      </w:r>
    </w:p>
    <w:p>
      <w:pPr>
        <w:pStyle w:val="Compact"/>
        <w:numPr>
          <w:ilvl w:val="0"/>
          <w:numId w:val="1011"/>
        </w:numPr>
      </w:pPr>
      <w:r>
        <w:t xml:space="preserve">AI exposure and anti-AI activity should not be treated as independent causes without adjustment.</w:t>
      </w:r>
    </w:p>
    <w:p>
      <w:pPr>
        <w:pStyle w:val="Compact"/>
        <w:numPr>
          <w:ilvl w:val="0"/>
          <w:numId w:val="1011"/>
        </w:numPr>
      </w:pPr>
      <w:r>
        <w:t xml:space="preserve">Bullying, social defeat, sleep, substances, prodromal symptoms, mania-spectrum activation, baseline vulnerability, and transcript integrity must stay in the model.</w:t>
      </w:r>
    </w:p>
    <w:p>
      <w:pPr>
        <w:pStyle w:val="Compact"/>
        <w:numPr>
          <w:ilvl w:val="0"/>
          <w:numId w:val="1011"/>
        </w:numPr>
      </w:pPr>
      <w:r>
        <w:t xml:space="preserve">AI may still matter as content, amplifier, interactional environment, archive, or contaminated frame.</w:t>
      </w:r>
    </w:p>
    <w:p>
      <w:pPr>
        <w:pStyle w:val="Compact"/>
        <w:numPr>
          <w:ilvl w:val="0"/>
          <w:numId w:val="1011"/>
        </w:numPr>
      </w:pPr>
      <w:r>
        <w:t xml:space="preserve">The right research question is not</w:t>
      </w:r>
      <w:r>
        <w:t xml:space="preserve"> </w:t>
      </w:r>
      <w:r>
        <w:t xml:space="preserve">“</w:t>
      </w:r>
      <w:r>
        <w:t xml:space="preserve">AI cause or no AI cause?</w:t>
      </w:r>
      <w:r>
        <w:t xml:space="preserve">”</w:t>
      </w:r>
      <w:r>
        <w:t xml:space="preserve"> </w:t>
      </w:r>
      <w:r>
        <w:t xml:space="preserve">The right question is</w:t>
      </w:r>
      <w:r>
        <w:t xml:space="preserve"> </w:t>
      </w:r>
      <w:r>
        <w:t xml:space="preserve">“</w:t>
      </w:r>
      <w:r>
        <w:t xml:space="preserve">what role did AI play in this timeline, if any?</w:t>
      </w:r>
      <w:r>
        <w:t xml:space="preserve">”</w:t>
      </w:r>
    </w:p>
    <w:bookmarkEnd w:id="51"/>
    <w:bookmarkStart w:id="52" w:name="conclusion"/>
    <w:p>
      <w:pPr>
        <w:pStyle w:val="Heading2"/>
      </w:pPr>
      <w:r>
        <w:t xml:space="preserve">12. Conclusion</w:t>
      </w:r>
    </w:p>
    <w:p>
      <w:pPr>
        <w:pStyle w:val="FirstParagraph"/>
      </w:pPr>
      <w:r>
        <w:t xml:space="preserve">Anti-AI activity may someday prove to be a useful risk marker in specific contexts. It should not be promoted into a causal object without careful temporal reconstruction and adjustment for stronger explanations. A person criticizing AI is not a symptom. A person in distress around AI is not proof of AI causation. A transcript is not the person. A case is not a group verdict.</w:t>
      </w:r>
    </w:p>
    <w:p>
      <w:pPr>
        <w:pStyle w:val="BodyText"/>
      </w:pPr>
      <w:r>
        <w:t xml:space="preserve">The null should hold until evidence breaks it.</w:t>
      </w:r>
    </w:p>
    <w:p>
      <w:pPr>
        <w:pStyle w:val="BodyText"/>
      </w:pPr>
      <w:r>
        <w:t xml:space="preserve">Better final question:</w:t>
      </w:r>
    </w:p>
    <w:p>
      <w:pPr>
        <w:pStyle w:val="BlockText"/>
      </w:pPr>
      <w:r>
        <w:t xml:space="preserve">When AI appears in the story, is it cause, content, amplifier, archive, social trigger, contaminated frame, or merely the most visible artifact?</w:t>
      </w:r>
    </w:p>
    <w:p>
      <w:pPr>
        <w:pStyle w:val="FirstParagraph"/>
      </w:pPr>
      <w:r>
        <w:t xml:space="preserve">That question protects both science and people.</w:t>
      </w:r>
    </w:p>
    <w:bookmarkEnd w:id="52"/>
    <w:bookmarkStart w:id="53" w:name="selected-references-and-source-notes"/>
    <w:p>
      <w:pPr>
        <w:pStyle w:val="Heading2"/>
      </w:pPr>
      <w:r>
        <w:t xml:space="preserve">Selected references and source notes</w:t>
      </w:r>
    </w:p>
    <w:p>
      <w:pPr>
        <w:pStyle w:val="Compact"/>
        <w:numPr>
          <w:ilvl w:val="0"/>
          <w:numId w:val="1012"/>
        </w:numPr>
      </w:pPr>
      <w:r>
        <w:t xml:space="preserve">National Institute of Mental Health.</w:t>
      </w:r>
      <w:r>
        <w:t xml:space="preserve"> </w:t>
      </w:r>
      <w:r>
        <w:t xml:space="preserve">“</w:t>
      </w:r>
      <w:r>
        <w:t xml:space="preserve">Understanding Psychosis.</w:t>
      </w:r>
      <w:r>
        <w:t xml:space="preserve">”</w:t>
      </w:r>
      <w:r>
        <w:t xml:space="preserve"> </w:t>
      </w:r>
      <w:r>
        <w:t xml:space="preserve">NIMH. Accessed 2026-06-16. https://www.nimh.nih.gov/health/publications/understanding-psychosis</w:t>
      </w:r>
      <w:r>
        <w:br/>
      </w:r>
    </w:p>
    <w:p>
      <w:pPr>
        <w:pStyle w:val="Compact"/>
        <w:numPr>
          <w:ilvl w:val="0"/>
          <w:numId w:val="1012"/>
        </w:numPr>
      </w:pPr>
      <w:r>
        <w:t xml:space="preserve">National Institute for Health and Care Excellence.</w:t>
      </w:r>
      <w:r>
        <w:t xml:space="preserve"> </w:t>
      </w:r>
      <w:r>
        <w:t xml:space="preserve">“</w:t>
      </w:r>
      <w:r>
        <w:t xml:space="preserve">Psychosis and schizophrenia in adults: prevention and management.</w:t>
      </w:r>
      <w:r>
        <w:t xml:space="preserve">”</w:t>
      </w:r>
      <w:r>
        <w:t xml:space="preserve"> </w:t>
      </w:r>
      <w:r>
        <w:t xml:space="preserve">NICE CG178. Last reviewed 2025-07-29. https://www.nice.org.uk/guidance/cg178</w:t>
      </w:r>
      <w:r>
        <w:br/>
      </w:r>
    </w:p>
    <w:p>
      <w:pPr>
        <w:pStyle w:val="Compact"/>
        <w:numPr>
          <w:ilvl w:val="0"/>
          <w:numId w:val="1012"/>
        </w:numPr>
      </w:pPr>
      <w:r>
        <w:t xml:space="preserve">World Health Organization.</w:t>
      </w:r>
      <w:r>
        <w:t xml:space="preserve"> </w:t>
      </w:r>
      <w:r>
        <w:t xml:space="preserve">“</w:t>
      </w:r>
      <w:r>
        <w:t xml:space="preserve">Schizophrenia.</w:t>
      </w:r>
      <w:r>
        <w:t xml:space="preserve">”</w:t>
      </w:r>
      <w:r>
        <w:t xml:space="preserve"> </w:t>
      </w:r>
      <w:r>
        <w:t xml:space="preserve">WHO Fact Sheet. 2025-10-06. https://www.who.int/news-room/fact-sheets/detail/schizophrenia</w:t>
      </w:r>
      <w:r>
        <w:br/>
      </w:r>
    </w:p>
    <w:p>
      <w:pPr>
        <w:pStyle w:val="Compact"/>
        <w:numPr>
          <w:ilvl w:val="0"/>
          <w:numId w:val="1012"/>
        </w:numPr>
      </w:pPr>
      <w:r>
        <w:t xml:space="preserve">Selten, J. P., and Cantor-Graae, E.</w:t>
      </w:r>
      <w:r>
        <w:t xml:space="preserve"> </w:t>
      </w:r>
      <w:r>
        <w:t xml:space="preserve">“</w:t>
      </w:r>
      <w:r>
        <w:t xml:space="preserve">Hypothesis: social defeat is a risk factor for schizophrenia?</w:t>
      </w:r>
      <w:r>
        <w:t xml:space="preserve">”</w:t>
      </w:r>
      <w:r>
        <w:t xml:space="preserve"> </w:t>
      </w:r>
      <w:r>
        <w:t xml:space="preserve">British Journal of Psychiatry, 2007.</w:t>
      </w:r>
      <w:r>
        <w:br/>
      </w:r>
    </w:p>
    <w:p>
      <w:pPr>
        <w:pStyle w:val="Compact"/>
        <w:numPr>
          <w:ilvl w:val="0"/>
          <w:numId w:val="1012"/>
        </w:numPr>
      </w:pPr>
      <w:r>
        <w:t xml:space="preserve">Mourgues-Codern, C., et al. </w:t>
      </w:r>
      <w:r>
        <w:t xml:space="preserve">“</w:t>
      </w:r>
      <w:r>
        <w:t xml:space="preserve">Emergence and dynamics of delusions and hallucinations across stages in early psychosis.</w:t>
      </w:r>
      <w:r>
        <w:t xml:space="preserve">”</w:t>
      </w:r>
      <w:r>
        <w:t xml:space="preserve"> </w:t>
      </w:r>
      <w:r>
        <w:t xml:space="preserve">arXiv preprint, 2024. https://arxiv.org/abs/2402.13428</w:t>
      </w:r>
      <w:r>
        <w:br/>
      </w:r>
    </w:p>
    <w:p>
      <w:pPr>
        <w:pStyle w:val="Compact"/>
        <w:numPr>
          <w:ilvl w:val="0"/>
          <w:numId w:val="1012"/>
        </w:numPr>
      </w:pPr>
      <w:r>
        <w:t xml:space="preserve">Repository source file:</w:t>
      </w:r>
      <w:r>
        <w:t xml:space="preserve"> </w:t>
      </w:r>
      <w:r>
        <w:rPr>
          <w:rStyle w:val="VerbatimChar"/>
        </w:rPr>
        <w:t xml:space="preserve">amphi/cases/ai_fep_null_hypothesis_framework_fork1_design_v0_001.md</w:t>
      </w:r>
      <w:r>
        <w:t xml:space="preserve">.</w:t>
      </w:r>
      <w:r>
        <w:br/>
      </w:r>
    </w:p>
    <w:p>
      <w:pPr>
        <w:pStyle w:val="Compact"/>
        <w:numPr>
          <w:ilvl w:val="0"/>
          <w:numId w:val="1012"/>
        </w:numPr>
      </w:pPr>
      <w:r>
        <w:t xml:space="preserve">Repository source file:</w:t>
      </w:r>
      <w:r>
        <w:t xml:space="preserve"> </w:t>
      </w:r>
      <w:r>
        <w:rPr>
          <w:rStyle w:val="VerbatimChar"/>
        </w:rPr>
        <w:t xml:space="preserve">robot_bugs_and_frogs/Current_Robot_Bugs/AI_FEP_transcript_integrity_v0_001.md</w:t>
      </w:r>
      <w:r>
        <w:t xml:space="preserve">.</w:t>
      </w:r>
      <w:r>
        <w:br/>
      </w:r>
    </w:p>
    <w:p>
      <w:pPr>
        <w:pStyle w:val="Compact"/>
        <w:numPr>
          <w:ilvl w:val="0"/>
          <w:numId w:val="1012"/>
        </w:numPr>
      </w:pPr>
      <w:r>
        <w:t xml:space="preserve">Repository source note:</w:t>
      </w:r>
      <w:r>
        <w:t xml:space="preserve"> </w:t>
      </w:r>
      <w:r>
        <w:rPr>
          <w:rStyle w:val="VerbatimChar"/>
        </w:rPr>
        <w:t xml:space="preserve">lmxdi/lmxdigraphs/ai_fep_h0/what caused this paper?</w:t>
      </w:r>
      <w:r>
        <w:t xml:space="preserve">.</w:t>
      </w:r>
    </w:p>
    <w:bookmarkEnd w:id="53"/>
    <w:bookmarkStart w:id="54" w:name="version-note"/>
    <w:p>
      <w:pPr>
        <w:pStyle w:val="Heading2"/>
      </w:pPr>
      <w:r>
        <w:t xml:space="preserve">Version note</w:t>
      </w:r>
    </w:p>
    <w:p>
      <w:pPr>
        <w:pStyle w:val="FirstParagraph"/>
      </w:pPr>
      <w:r>
        <w:t xml:space="preserve">v0.001 is a public draft. It is intended to preserve the research object, not to settle the medical literature. The next version should add a formal literature review, preregistered variable definitions, and a stronger transcript-integrity protocol.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2026-06-16T14:30:46Z</dcterms:created>
  <dcterms:modified xsi:type="dcterms:W3CDTF">2026-06-16T14:30:46Z</dcterms:modified>
</cp:coreProperties>
</file>

<file path=docProps/custom.xml><?xml version="1.0" encoding="utf-8"?>
<Properties xmlns="http://schemas.openxmlformats.org/officeDocument/2006/custom-properties" xmlns:vt="http://schemas.openxmlformats.org/officeDocument/2006/docPropsVTypes"/>
</file>