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Helper Who Must Not Appear</w:t>
      </w:r>
    </w:p>
    <w:p>
      <w:pPr>
        <w:pStyle w:val="Heading1"/>
      </w:pPr>
      <w:r>
        <w:t>Social unusability, latent civic capacity, and the offer that fails before design</w:t>
      </w:r>
    </w:p>
    <w:p>
      <w:r/>
      <w:r>
        <w:rPr>
          <w:b/>
        </w:rPr>
        <w:t>By Lumixdeee and Natasya</w:t>
      </w:r>
      <w:r/>
    </w:p>
    <w:p>
      <w:r/>
      <w:r>
        <w:rPr>
          <w:b/>
        </w:rPr>
        <w:t>Version:</w:t>
      </w:r>
      <w:r>
        <w:t xml:space="preserve"> v0.002</w:t>
      </w:r>
    </w:p>
    <w:p>
      <w:r/>
      <w:r>
        <w:rPr>
          <w:b/>
        </w:rPr>
        <w:t>Status:</w:t>
      </w:r>
      <w:r>
        <w:t xml:space="preserve"> Working paper / method note</w:t>
      </w:r>
    </w:p>
    <w:p>
      <w:pPr>
        <w:pStyle w:val="Heading1"/>
      </w:pPr>
      <w:r>
        <w:t>Abstract</w:t>
      </w:r>
    </w:p>
    <w:p>
      <w:r>
        <w:t>Some people are not useless. They are made unusable. The Helper Who Must Not Appear names a recurring civic pattern: a person has access to time, space, tools, memory, local knowledge, lived expertise, land, shade, water, a room, a route, or a working skill, but the social parser marks the person as awkward before the offer can be heard. Medical cannabis users, mad people, autistic people, disabled people, older people, odd men, ex-patients, rough speakers, and non-credentialed experts may all hold useful civic affordances. The loss is not only interpersonal prejudice. It is capacity loss.</w:t>
      </w:r>
    </w:p>
    <w:p>
      <w:r>
        <w:t>A system that cannot tolerate the helper category cannot activate the resource attached to that helper. This paper distinguishes the helper from the asset, the offer from the role, and usefulness from social comfort. It argues for helper-mediated affordance design: a method for receiving useful offers without forcing the helper to become a mascot, suspect, case study, volunteer, carer, teacher, or public proof object.</w:t>
      </w:r>
    </w:p>
    <w:p>
      <w:r>
        <w:t>Version v0.002 adds relation to IMAMI, an offer / asset / role table, absence design, a Good Bad Reader correction, and a bridge to Evidence Is Not Person. The central rule is simple: a helper can offer access without offering themselves.</w:t>
      </w:r>
    </w:p>
    <w:p>
      <w:pPr>
        <w:pStyle w:val="Heading1"/>
      </w:pPr>
      <w:r>
        <w:t>1. The object</w:t>
      </w:r>
    </w:p>
    <w:p>
      <w:r>
        <w:t>The Helper Who Must Not Appear is the person whose usefulness is blocked by social category before design begins.</w:t>
      </w:r>
    </w:p>
    <w:p>
      <w:r>
        <w:t>They may have a key, a yard, a room, a shaded tree, a van, tools, battery packs, spare furniture, a map, a kitchen, a repair skill, schedule freedom, local knowledge, or lived memory of an institutional failure. None of that means they should automatically be placed in charge. It means their connection to an affordance should not vanish because the institution cannot parse them as an acceptable helper.</w:t>
      </w:r>
    </w:p>
    <w:p>
      <w:r>
        <w:t>The helper may be socially marked in many ways. They may use medical cannabis. They may have lived through madness. They may be autistic. They may be disabled. They may be old. They may be an odd man. They may be an ex-patient. They may speak roughly. They may lack credentials while knowing the local system better than a visiting professional. The system may not want them visible, named, thanked, trusted, contacted, or even considered.</w:t>
      </w:r>
    </w:p>
    <w:p>
      <w:r>
        <w:t>When that happens, the person is not the only one excluded. The attached resource is excluded too.</w:t>
      </w:r>
    </w:p>
    <w:p>
      <w:pPr>
        <w:pStyle w:val="Heading1"/>
      </w:pPr>
      <w:r>
        <w:t>2. The useful but unusable person</w:t>
      </w:r>
    </w:p>
    <w:p>
      <w:r>
        <w:t>Civic systems often confuse social comfort with usefulness. A polished speaker, credentialed stranger, or approved organisation can enter the room even when they know little about the local object. A rough speaker, marked patient, medical cannabis user, or odd neighbour may know exactly which gate opens, where shade falls, which route floods, which hall is empty, or what equipment is already available, yet the offer is dead on arrival.</w:t>
      </w:r>
    </w:p>
    <w:p>
      <w:r>
        <w:t>The difference is not simply trust. Trust can be designed. Roles can be bounded. Contact can be limited. Inspection can be independent. Supervision can remain with the institution. A helper can provide access without providing care. A helper can lend a resource without meeting service users. A helper can contribute local knowledge without becoming an authority.</w:t>
      </w:r>
    </w:p>
    <w:p>
      <w:r>
        <w:t>But the social parser often refuses these distinctions. It sees the person and stops before it sees the structure.</w:t>
      </w:r>
    </w:p>
    <w:p>
      <w:pPr>
        <w:pStyle w:val="Heading1"/>
      </w:pPr>
      <w:r>
        <w:t>3. The blocked resource may not be the person</w:t>
      </w:r>
    </w:p>
    <w:p>
      <w:r>
        <w:t>A central rule follows:</w:t>
      </w:r>
    </w:p>
    <w:p>
      <w:r/>
      <w:r>
        <w:rPr>
          <w:b/>
        </w:rPr>
        <w:t>The blocked resource may not be the person.</w:t>
      </w:r>
      <w:r/>
    </w:p>
    <w:p>
      <w:r>
        <w:t>It may be the key, room, shade, route, tool, memory, timing, repair skill, local trust, or permission the person can supply.</w:t>
      </w:r>
    </w:p>
    <w:p>
      <w:r>
        <w:t>This matters because many objections attach to imagined contact. The parser imagines the helper standing in the middle of the scene. But some offers require no such presence. A person can unlock a gate and leave. A person can lend a room through a written agreement. A person can tell an institution where a safer route is. A person can donate equipment without appearing. A person can map a failure point without becoming part of a service.</w:t>
      </w:r>
    </w:p>
    <w:p>
      <w:r>
        <w:t>The absent-helper model matters. It lets the resource be evaluated without forcing the helper into a role they did not offer and the system cannot accept.</w:t>
      </w:r>
    </w:p>
    <w:p>
      <w:pPr>
        <w:pStyle w:val="Heading1"/>
      </w:pPr>
      <w:r>
        <w:t>4. Categories that carry too much weight</w:t>
      </w:r>
    </w:p>
    <w:p>
      <w:r>
        <w:t>Some categories overload the parser.</w:t>
      </w:r>
    </w:p>
    <w:p>
      <w:r>
        <w:t>A medical cannabis user may be treated as drugginess rather than as a person with a lawful medicine, a home, a routine, and perhaps daytime availability. A mad person may be treated as instability rather than as someone with lived knowledge of institutions, crisis, weather, and meaning loss. An autistic person may be treated as awkwardness rather than system memory, pattern skill, or direct observation. A disabled person may be treated as need rather than place-knowledge, time, or access. An older person may be treated as frailty rather than schedule freedom, local memory, and continuity. An odd man may be treated as reputational risk even when his offer requires no contact. An ex-patient may be treated as testimony only, not as design intelligence. A rough speaker may be treated as bad language before their accurate report is heard. A non-credentialed expert may be treated as hobbyist noise even when they know the working mechanism.</w:t>
      </w:r>
    </w:p>
    <w:p>
      <w:r>
        <w:t>The point is not that every marked person is safe, useful, right, or owed acceptance. The point is that category load can stop affordance design before any actual boundary is considered.</w:t>
      </w:r>
    </w:p>
    <w:p>
      <w:pPr>
        <w:pStyle w:val="Heading1"/>
      </w:pPr>
      <w:r>
        <w:t>5. The offer that fails before design</w:t>
      </w:r>
    </w:p>
    <w:p>
      <w:r>
        <w:t>The failure has a repeatable sequence.</w:t>
      </w:r>
    </w:p>
    <w:p>
      <w:r>
        <w:t>An asset exists. A helper has access. The helper is socially marked. The offer is parsed through the mark before its design is described. The imagined bad reading becomes louder than the actual affordance. The institution declines without recording the lost capacity. Later, the shortage appears as if no local option existed.</w:t>
      </w:r>
    </w:p>
    <w:p>
      <w:r>
        <w:t>This is how civic systems lose capacity without noticing. No one records the unused tree, unused room, unused route, unused kitchen, unused repair skill, unused local memory, or unused person with time. The public record shows only the expensive substitute, the delay, the closure, the staff strain, or the statement that nothing could be done.</w:t>
      </w:r>
    </w:p>
    <w:p>
      <w:r>
        <w:t>Nobody invoices the helper who never appears.</w:t>
      </w:r>
    </w:p>
    <w:p>
      <w:pPr>
        <w:pStyle w:val="Heading1"/>
      </w:pPr>
      <w:r>
        <w:t>6. Helper-mediated affordance design</w:t>
      </w:r>
    </w:p>
    <w:p>
      <w:r>
        <w:t>The remedy is not to make every helper visible. Sometimes the safest and most dignified design is to let the helper remain offstage.</w:t>
      </w:r>
    </w:p>
    <w:p>
      <w:r>
        <w:t>A helper-mediated affordance route asks:</w:t>
      </w:r>
    </w:p>
    <w:p>
      <w:pPr>
        <w:pStyle w:val="ListNumber"/>
      </w:pPr>
      <w:r>
        <w:t>What is the actual offer?</w:t>
      </w:r>
    </w:p>
    <w:p>
      <w:pPr>
        <w:pStyle w:val="ListNumber"/>
      </w:pPr>
      <w:r>
        <w:t>Is it space, access, knowledge, equipment, time, permission, memory, or labour?</w:t>
      </w:r>
    </w:p>
    <w:p>
      <w:pPr>
        <w:pStyle w:val="ListNumber"/>
      </w:pPr>
      <w:r>
        <w:t>Does the helper need to be present?</w:t>
      </w:r>
    </w:p>
    <w:p>
      <w:pPr>
        <w:pStyle w:val="ListNumber"/>
      </w:pPr>
      <w:r>
        <w:t>Can the institution inspect and take custody of the asset?</w:t>
      </w:r>
    </w:p>
    <w:p>
      <w:pPr>
        <w:pStyle w:val="ListNumber"/>
      </w:pPr>
      <w:r>
        <w:t>Can contact be avoided, bounded, or supervised?</w:t>
      </w:r>
    </w:p>
    <w:p>
      <w:pPr>
        <w:pStyle w:val="ListNumber"/>
      </w:pPr>
      <w:r>
        <w:t>Can the offer be time-limited?</w:t>
      </w:r>
    </w:p>
    <w:p>
      <w:pPr>
        <w:pStyle w:val="ListNumber"/>
      </w:pPr>
      <w:r>
        <w:t>Can the helper be thanked without being exposed?</w:t>
      </w:r>
    </w:p>
    <w:p>
      <w:pPr>
        <w:pStyle w:val="ListNumber"/>
      </w:pPr>
      <w:r>
        <w:t>Can the arrangement be recorded without turning the person into a case example?</w:t>
      </w:r>
    </w:p>
    <w:p>
      <w:pPr>
        <w:pStyle w:val="ListNumber"/>
      </w:pPr>
      <w:r>
        <w:t>Can the offer be refused for a stated reason rather than dissolved into discomfort?</w:t>
      </w:r>
    </w:p>
    <w:p>
      <w:r>
        <w:t>This route treats marked helpers neither as heroes nor hazards. It treats them as possible carriers of civic affordance.</w:t>
      </w:r>
    </w:p>
    <w:p>
      <w:pPr>
        <w:pStyle w:val="Heading1"/>
      </w:pPr>
      <w:r>
        <w:t>7. Relation to IMAMI: access is not self-transfer</w:t>
      </w:r>
    </w:p>
    <w:p>
      <w:r>
        <w:t>IMAMI matters because a helper's offer is not a blank permission slip. A helper may offer a key, memory, route, object, introduction, or space without offering personal exposure, ongoing contact, emotional labour, publicity, availability, or identity use.</w:t>
      </w:r>
    </w:p>
    <w:p>
      <w:r>
        <w:t>Language for the patch:</w:t>
      </w:r>
    </w:p>
    <w:p>
      <w:pPr>
        <w:pStyle w:val="CodeBlock"/>
        <w:shd w:fill="F5F5F5"/>
      </w:pPr>
      <w:r>
        <w:t>helper_offer != helper_self</w:t>
      </w:r>
    </w:p>
    <w:p>
      <w:pPr>
        <w:pStyle w:val="CodeBlock"/>
        <w:shd w:fill="F5F5F5"/>
      </w:pPr>
      <w:r>
        <w:t>access_offer != contact_offer</w:t>
      </w:r>
    </w:p>
    <w:p>
      <w:pPr>
        <w:pStyle w:val="CodeBlock"/>
        <w:shd w:fill="F5F5F5"/>
      </w:pPr>
      <w:r>
        <w:t>asset_permission != body_permission</w:t>
      </w:r>
    </w:p>
    <w:p>
      <w:pPr>
        <w:pStyle w:val="CodeBlock"/>
        <w:shd w:fill="F5F5F5"/>
      </w:pPr>
      <w:r>
        <w:t>visibility requires live say</w:t>
      </w:r>
    </w:p>
    <w:p>
      <w:pPr>
        <w:pStyle w:val="CodeBlock"/>
        <w:shd w:fill="F5F5F5"/>
      </w:pPr>
      <w:r>
        <w:t>naming requires live say</w:t>
      </w:r>
    </w:p>
    <w:p>
      <w:pPr>
        <w:pStyle w:val="CodeBlock"/>
        <w:shd w:fill="F5F5F5"/>
      </w:pPr>
      <w:r>
        <w:t>gratitude must not become exposure</w:t>
      </w:r>
    </w:p>
    <w:p>
      <w:r>
        <w:t>The helper's presence, contact, visibility, and naming require live say. A helper can offer access without offering themselves. A system that cannot separate the offer from the person may demand too much before it accepts anything.</w:t>
      </w:r>
    </w:p>
    <w:p>
      <w:r>
        <w:t>IMAMI also protects the institution and users. It asks what may approach whom, at what distance, under whose say, and with what veto. This lets a civic system use an affordance without pretending all relations are safe by default.</w:t>
      </w:r>
    </w:p>
    <w:p>
      <w:pPr>
        <w:pStyle w:val="Heading1"/>
      </w:pPr>
      <w:r>
        <w:t>8. Offer, asset, role, and custody table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top"/>
            <w:shd w:fill="E9EEF5"/>
          </w:tcPr>
          <w:p>
            <w:pPr>
              <w:spacing w:after="0"/>
            </w:pPr>
            <w:r/>
            <w:r>
              <w:rPr>
                <w:rFonts w:ascii="Aptos" w:hAnsi="Aptos" w:eastAsia="Aptos"/>
                <w:b/>
                <w:sz w:val="18"/>
              </w:rPr>
              <w:t>Offer</w:t>
            </w:r>
          </w:p>
        </w:tc>
        <w:tc>
          <w:tcPr>
            <w:tcW w:type="dxa" w:w="1987"/>
            <w:vAlign w:val="top"/>
            <w:shd w:fill="E9EEF5"/>
          </w:tcPr>
          <w:p>
            <w:pPr>
              <w:spacing w:after="0"/>
            </w:pPr>
            <w:r/>
            <w:r>
              <w:rPr>
                <w:rFonts w:ascii="Aptos" w:hAnsi="Aptos" w:eastAsia="Aptos"/>
                <w:b/>
                <w:sz w:val="18"/>
              </w:rPr>
              <w:t>Asset or affordance</w:t>
            </w:r>
          </w:p>
        </w:tc>
        <w:tc>
          <w:tcPr>
            <w:tcW w:type="dxa" w:w="1987"/>
            <w:vAlign w:val="top"/>
            <w:shd w:fill="E9EEF5"/>
          </w:tcPr>
          <w:p>
            <w:pPr>
              <w:spacing w:after="0"/>
            </w:pPr>
            <w:r/>
            <w:r>
              <w:rPr>
                <w:rFonts w:ascii="Aptos" w:hAnsi="Aptos" w:eastAsia="Aptos"/>
                <w:b/>
                <w:sz w:val="18"/>
              </w:rPr>
              <w:t>Helper role</w:t>
            </w:r>
          </w:p>
        </w:tc>
        <w:tc>
          <w:tcPr>
            <w:tcW w:type="dxa" w:w="1987"/>
            <w:vAlign w:val="top"/>
            <w:shd w:fill="E9EEF5"/>
          </w:tcPr>
          <w:p>
            <w:pPr>
              <w:spacing w:after="0"/>
            </w:pPr>
            <w:r/>
            <w:r>
              <w:rPr>
                <w:rFonts w:ascii="Aptos" w:hAnsi="Aptos" w:eastAsia="Aptos"/>
                <w:b/>
                <w:sz w:val="18"/>
              </w:rPr>
              <w:t>Required contact</w:t>
            </w:r>
          </w:p>
        </w:tc>
        <w:tc>
          <w:tcPr>
            <w:tcW w:type="dxa" w:w="1987"/>
            <w:vAlign w:val="top"/>
            <w:shd w:fill="E9EEF5"/>
          </w:tcPr>
          <w:p>
            <w:pPr>
              <w:spacing w:after="0"/>
            </w:pPr>
            <w:r/>
            <w:r>
              <w:rPr>
                <w:rFonts w:ascii="Aptos" w:hAnsi="Aptos" w:eastAsia="Aptos"/>
                <w:b/>
                <w:sz w:val="18"/>
              </w:rPr>
              <w:t>Possible custody holder</w:t>
            </w:r>
          </w:p>
        </w:tc>
      </w:tr>
      <w:tr>
        <w:tc>
          <w:tcPr>
            <w:tcW w:type="dxa" w:w="1987"/>
            <w:vAlign w:val="top"/>
          </w:tcPr>
          <w:p>
            <w:pPr>
              <w:spacing w:after="0"/>
            </w:pPr>
            <w:r/>
            <w:r>
              <w:rPr>
                <w:rFonts w:ascii="Aptos" w:hAnsi="Aptos" w:eastAsia="Aptos"/>
                <w:b w:val="0"/>
                <w:sz w:val="18"/>
              </w:rPr>
              <w:t>Unlock gate</w:t>
            </w:r>
          </w:p>
        </w:tc>
        <w:tc>
          <w:tcPr>
            <w:tcW w:type="dxa" w:w="1987"/>
            <w:vAlign w:val="top"/>
          </w:tcPr>
          <w:p>
            <w:pPr>
              <w:spacing w:after="0"/>
            </w:pPr>
            <w:r/>
            <w:r>
              <w:rPr>
                <w:rFonts w:ascii="Aptos" w:hAnsi="Aptos" w:eastAsia="Aptos"/>
                <w:b w:val="0"/>
                <w:sz w:val="18"/>
              </w:rPr>
              <w:t>Access route</w:t>
            </w:r>
          </w:p>
        </w:tc>
        <w:tc>
          <w:tcPr>
            <w:tcW w:type="dxa" w:w="1987"/>
            <w:vAlign w:val="top"/>
          </w:tcPr>
          <w:p>
            <w:pPr>
              <w:spacing w:after="0"/>
            </w:pPr>
            <w:r/>
            <w:r>
              <w:rPr>
                <w:rFonts w:ascii="Aptos" w:hAnsi="Aptos" w:eastAsia="Aptos"/>
                <w:b w:val="0"/>
                <w:sz w:val="18"/>
              </w:rPr>
              <w:t>Key-holder</w:t>
            </w:r>
          </w:p>
        </w:tc>
        <w:tc>
          <w:tcPr>
            <w:tcW w:type="dxa" w:w="1987"/>
            <w:vAlign w:val="top"/>
          </w:tcPr>
          <w:p>
            <w:pPr>
              <w:spacing w:after="0"/>
            </w:pPr>
            <w:r/>
            <w:r>
              <w:rPr>
                <w:rFonts w:ascii="Aptos" w:hAnsi="Aptos" w:eastAsia="Aptos"/>
                <w:b w:val="0"/>
                <w:sz w:val="18"/>
              </w:rPr>
              <w:t>Brief or none</w:t>
            </w:r>
          </w:p>
        </w:tc>
        <w:tc>
          <w:tcPr>
            <w:tcW w:type="dxa" w:w="1987"/>
            <w:vAlign w:val="top"/>
          </w:tcPr>
          <w:p>
            <w:pPr>
              <w:spacing w:after="0"/>
            </w:pPr>
            <w:r/>
            <w:r>
              <w:rPr>
                <w:rFonts w:ascii="Aptos" w:hAnsi="Aptos" w:eastAsia="Aptos"/>
                <w:b w:val="0"/>
                <w:sz w:val="18"/>
              </w:rPr>
              <w:t>School, council, organiser</w:t>
            </w:r>
          </w:p>
        </w:tc>
      </w:tr>
      <w:tr>
        <w:tc>
          <w:tcPr>
            <w:tcW w:type="dxa" w:w="1987"/>
            <w:vAlign w:val="top"/>
          </w:tcPr>
          <w:p>
            <w:pPr>
              <w:spacing w:after="0"/>
            </w:pPr>
            <w:r/>
            <w:r>
              <w:rPr>
                <w:rFonts w:ascii="Aptos" w:hAnsi="Aptos" w:eastAsia="Aptos"/>
                <w:b w:val="0"/>
                <w:sz w:val="18"/>
              </w:rPr>
              <w:t>Lend room</w:t>
            </w:r>
          </w:p>
        </w:tc>
        <w:tc>
          <w:tcPr>
            <w:tcW w:type="dxa" w:w="1987"/>
            <w:vAlign w:val="top"/>
          </w:tcPr>
          <w:p>
            <w:pPr>
              <w:spacing w:after="0"/>
            </w:pPr>
            <w:r/>
            <w:r>
              <w:rPr>
                <w:rFonts w:ascii="Aptos" w:hAnsi="Aptos" w:eastAsia="Aptos"/>
                <w:b w:val="0"/>
                <w:sz w:val="18"/>
              </w:rPr>
              <w:t>Space</w:t>
            </w:r>
          </w:p>
        </w:tc>
        <w:tc>
          <w:tcPr>
            <w:tcW w:type="dxa" w:w="1987"/>
            <w:vAlign w:val="top"/>
          </w:tcPr>
          <w:p>
            <w:pPr>
              <w:spacing w:after="0"/>
            </w:pPr>
            <w:r/>
            <w:r>
              <w:rPr>
                <w:rFonts w:ascii="Aptos" w:hAnsi="Aptos" w:eastAsia="Aptos"/>
                <w:b w:val="0"/>
                <w:sz w:val="18"/>
              </w:rPr>
              <w:t>Landlord or host</w:t>
            </w:r>
          </w:p>
        </w:tc>
        <w:tc>
          <w:tcPr>
            <w:tcW w:type="dxa" w:w="1987"/>
            <w:vAlign w:val="top"/>
          </w:tcPr>
          <w:p>
            <w:pPr>
              <w:spacing w:after="0"/>
            </w:pPr>
            <w:r/>
            <w:r>
              <w:rPr>
                <w:rFonts w:ascii="Aptos" w:hAnsi="Aptos" w:eastAsia="Aptos"/>
                <w:b w:val="0"/>
                <w:sz w:val="18"/>
              </w:rPr>
              <w:t>Written agreement only</w:t>
            </w:r>
          </w:p>
        </w:tc>
        <w:tc>
          <w:tcPr>
            <w:tcW w:type="dxa" w:w="1987"/>
            <w:vAlign w:val="top"/>
          </w:tcPr>
          <w:p>
            <w:pPr>
              <w:spacing w:after="0"/>
            </w:pPr>
            <w:r/>
            <w:r>
              <w:rPr>
                <w:rFonts w:ascii="Aptos" w:hAnsi="Aptos" w:eastAsia="Aptos"/>
                <w:b w:val="0"/>
                <w:sz w:val="18"/>
              </w:rPr>
              <w:t>Institution or trusted third party</w:t>
            </w:r>
          </w:p>
        </w:tc>
      </w:tr>
      <w:tr>
        <w:tc>
          <w:tcPr>
            <w:tcW w:type="dxa" w:w="1987"/>
            <w:vAlign w:val="top"/>
          </w:tcPr>
          <w:p>
            <w:pPr>
              <w:spacing w:after="0"/>
            </w:pPr>
            <w:r/>
            <w:r>
              <w:rPr>
                <w:rFonts w:ascii="Aptos" w:hAnsi="Aptos" w:eastAsia="Aptos"/>
                <w:b w:val="0"/>
                <w:sz w:val="18"/>
              </w:rPr>
              <w:t>Point out shaded tree</w:t>
            </w:r>
          </w:p>
        </w:tc>
        <w:tc>
          <w:tcPr>
            <w:tcW w:type="dxa" w:w="1987"/>
            <w:vAlign w:val="top"/>
          </w:tcPr>
          <w:p>
            <w:pPr>
              <w:spacing w:after="0"/>
            </w:pPr>
            <w:r/>
            <w:r>
              <w:rPr>
                <w:rFonts w:ascii="Aptos" w:hAnsi="Aptos" w:eastAsia="Aptos"/>
                <w:b w:val="0"/>
                <w:sz w:val="18"/>
              </w:rPr>
              <w:t>Location knowledge</w:t>
            </w:r>
          </w:p>
        </w:tc>
        <w:tc>
          <w:tcPr>
            <w:tcW w:type="dxa" w:w="1987"/>
            <w:vAlign w:val="top"/>
          </w:tcPr>
          <w:p>
            <w:pPr>
              <w:spacing w:after="0"/>
            </w:pPr>
            <w:r/>
            <w:r>
              <w:rPr>
                <w:rFonts w:ascii="Aptos" w:hAnsi="Aptos" w:eastAsia="Aptos"/>
                <w:b w:val="0"/>
                <w:sz w:val="18"/>
              </w:rPr>
              <w:t>Local witness</w:t>
            </w:r>
          </w:p>
        </w:tc>
        <w:tc>
          <w:tcPr>
            <w:tcW w:type="dxa" w:w="1987"/>
            <w:vAlign w:val="top"/>
          </w:tcPr>
          <w:p>
            <w:pPr>
              <w:spacing w:after="0"/>
            </w:pPr>
            <w:r/>
            <w:r>
              <w:rPr>
                <w:rFonts w:ascii="Aptos" w:hAnsi="Aptos" w:eastAsia="Aptos"/>
                <w:b w:val="0"/>
                <w:sz w:val="18"/>
              </w:rPr>
              <w:t>None after report</w:t>
            </w:r>
          </w:p>
        </w:tc>
        <w:tc>
          <w:tcPr>
            <w:tcW w:type="dxa" w:w="1987"/>
            <w:vAlign w:val="top"/>
          </w:tcPr>
          <w:p>
            <w:pPr>
              <w:spacing w:after="0"/>
            </w:pPr>
            <w:r/>
            <w:r>
              <w:rPr>
                <w:rFonts w:ascii="Aptos" w:hAnsi="Aptos" w:eastAsia="Aptos"/>
                <w:b w:val="0"/>
                <w:sz w:val="18"/>
              </w:rPr>
              <w:t>Site manager</w:t>
            </w:r>
          </w:p>
        </w:tc>
      </w:tr>
      <w:tr>
        <w:tc>
          <w:tcPr>
            <w:tcW w:type="dxa" w:w="1987"/>
            <w:vAlign w:val="top"/>
          </w:tcPr>
          <w:p>
            <w:pPr>
              <w:spacing w:after="0"/>
            </w:pPr>
            <w:r/>
            <w:r>
              <w:rPr>
                <w:rFonts w:ascii="Aptos" w:hAnsi="Aptos" w:eastAsia="Aptos"/>
                <w:b w:val="0"/>
                <w:sz w:val="18"/>
              </w:rPr>
              <w:t>Donate equipment</w:t>
            </w:r>
          </w:p>
        </w:tc>
        <w:tc>
          <w:tcPr>
            <w:tcW w:type="dxa" w:w="1987"/>
            <w:vAlign w:val="top"/>
          </w:tcPr>
          <w:p>
            <w:pPr>
              <w:spacing w:after="0"/>
            </w:pPr>
            <w:r/>
            <w:r>
              <w:rPr>
                <w:rFonts w:ascii="Aptos" w:hAnsi="Aptos" w:eastAsia="Aptos"/>
                <w:b w:val="0"/>
                <w:sz w:val="18"/>
              </w:rPr>
              <w:t>Tools or supplies</w:t>
            </w:r>
          </w:p>
        </w:tc>
        <w:tc>
          <w:tcPr>
            <w:tcW w:type="dxa" w:w="1987"/>
            <w:vAlign w:val="top"/>
          </w:tcPr>
          <w:p>
            <w:pPr>
              <w:spacing w:after="0"/>
            </w:pPr>
            <w:r/>
            <w:r>
              <w:rPr>
                <w:rFonts w:ascii="Aptos" w:hAnsi="Aptos" w:eastAsia="Aptos"/>
                <w:b w:val="0"/>
                <w:sz w:val="18"/>
              </w:rPr>
              <w:t>Donor</w:t>
            </w:r>
          </w:p>
        </w:tc>
        <w:tc>
          <w:tcPr>
            <w:tcW w:type="dxa" w:w="1987"/>
            <w:vAlign w:val="top"/>
          </w:tcPr>
          <w:p>
            <w:pPr>
              <w:spacing w:after="0"/>
            </w:pPr>
            <w:r/>
            <w:r>
              <w:rPr>
                <w:rFonts w:ascii="Aptos" w:hAnsi="Aptos" w:eastAsia="Aptos"/>
                <w:b w:val="0"/>
                <w:sz w:val="18"/>
              </w:rPr>
              <w:t>Drop-off only</w:t>
            </w:r>
          </w:p>
        </w:tc>
        <w:tc>
          <w:tcPr>
            <w:tcW w:type="dxa" w:w="1987"/>
            <w:vAlign w:val="top"/>
          </w:tcPr>
          <w:p>
            <w:pPr>
              <w:spacing w:after="0"/>
            </w:pPr>
            <w:r/>
            <w:r>
              <w:rPr>
                <w:rFonts w:ascii="Aptos" w:hAnsi="Aptos" w:eastAsia="Aptos"/>
                <w:b w:val="0"/>
                <w:sz w:val="18"/>
              </w:rPr>
              <w:t>Organisation</w:t>
            </w:r>
          </w:p>
        </w:tc>
      </w:tr>
      <w:tr>
        <w:tc>
          <w:tcPr>
            <w:tcW w:type="dxa" w:w="1987"/>
            <w:vAlign w:val="top"/>
          </w:tcPr>
          <w:p>
            <w:pPr>
              <w:spacing w:after="0"/>
            </w:pPr>
            <w:r/>
            <w:r>
              <w:rPr>
                <w:rFonts w:ascii="Aptos" w:hAnsi="Aptos" w:eastAsia="Aptos"/>
                <w:b w:val="0"/>
                <w:sz w:val="18"/>
              </w:rPr>
              <w:t>Map unsafe route</w:t>
            </w:r>
          </w:p>
        </w:tc>
        <w:tc>
          <w:tcPr>
            <w:tcW w:type="dxa" w:w="1987"/>
            <w:vAlign w:val="top"/>
          </w:tcPr>
          <w:p>
            <w:pPr>
              <w:spacing w:after="0"/>
            </w:pPr>
            <w:r/>
            <w:r>
              <w:rPr>
                <w:rFonts w:ascii="Aptos" w:hAnsi="Aptos" w:eastAsia="Aptos"/>
                <w:b w:val="0"/>
                <w:sz w:val="18"/>
              </w:rPr>
              <w:t>Local memory</w:t>
            </w:r>
          </w:p>
        </w:tc>
        <w:tc>
          <w:tcPr>
            <w:tcW w:type="dxa" w:w="1987"/>
            <w:vAlign w:val="top"/>
          </w:tcPr>
          <w:p>
            <w:pPr>
              <w:spacing w:after="0"/>
            </w:pPr>
            <w:r/>
            <w:r>
              <w:rPr>
                <w:rFonts w:ascii="Aptos" w:hAnsi="Aptos" w:eastAsia="Aptos"/>
                <w:b w:val="0"/>
                <w:sz w:val="18"/>
              </w:rPr>
              <w:t>Informant</w:t>
            </w:r>
          </w:p>
        </w:tc>
        <w:tc>
          <w:tcPr>
            <w:tcW w:type="dxa" w:w="1987"/>
            <w:vAlign w:val="top"/>
          </w:tcPr>
          <w:p>
            <w:pPr>
              <w:spacing w:after="0"/>
            </w:pPr>
            <w:r/>
            <w:r>
              <w:rPr>
                <w:rFonts w:ascii="Aptos" w:hAnsi="Aptos" w:eastAsia="Aptos"/>
                <w:b w:val="0"/>
                <w:sz w:val="18"/>
              </w:rPr>
              <w:t>One bounded conversation</w:t>
            </w:r>
          </w:p>
        </w:tc>
        <w:tc>
          <w:tcPr>
            <w:tcW w:type="dxa" w:w="1987"/>
            <w:vAlign w:val="top"/>
          </w:tcPr>
          <w:p>
            <w:pPr>
              <w:spacing w:after="0"/>
            </w:pPr>
            <w:r/>
            <w:r>
              <w:rPr>
                <w:rFonts w:ascii="Aptos" w:hAnsi="Aptos" w:eastAsia="Aptos"/>
                <w:b w:val="0"/>
                <w:sz w:val="18"/>
              </w:rPr>
              <w:t>Transport or safety lead</w:t>
            </w:r>
          </w:p>
        </w:tc>
      </w:tr>
      <w:tr>
        <w:tc>
          <w:tcPr>
            <w:tcW w:type="dxa" w:w="1987"/>
            <w:vAlign w:val="top"/>
          </w:tcPr>
          <w:p>
            <w:pPr>
              <w:spacing w:after="0"/>
            </w:pPr>
            <w:r/>
            <w:r>
              <w:rPr>
                <w:rFonts w:ascii="Aptos" w:hAnsi="Aptos" w:eastAsia="Aptos"/>
                <w:b w:val="0"/>
                <w:sz w:val="18"/>
              </w:rPr>
              <w:t>Share repair skill</w:t>
            </w:r>
          </w:p>
        </w:tc>
        <w:tc>
          <w:tcPr>
            <w:tcW w:type="dxa" w:w="1987"/>
            <w:vAlign w:val="top"/>
          </w:tcPr>
          <w:p>
            <w:pPr>
              <w:spacing w:after="0"/>
            </w:pPr>
            <w:r/>
            <w:r>
              <w:rPr>
                <w:rFonts w:ascii="Aptos" w:hAnsi="Aptos" w:eastAsia="Aptos"/>
                <w:b w:val="0"/>
                <w:sz w:val="18"/>
              </w:rPr>
              <w:t>Skill</w:t>
            </w:r>
          </w:p>
        </w:tc>
        <w:tc>
          <w:tcPr>
            <w:tcW w:type="dxa" w:w="1987"/>
            <w:vAlign w:val="top"/>
          </w:tcPr>
          <w:p>
            <w:pPr>
              <w:spacing w:after="0"/>
            </w:pPr>
            <w:r/>
            <w:r>
              <w:rPr>
                <w:rFonts w:ascii="Aptos" w:hAnsi="Aptos" w:eastAsia="Aptos"/>
                <w:b w:val="0"/>
                <w:sz w:val="18"/>
              </w:rPr>
              <w:t>Contractor or adviser</w:t>
            </w:r>
          </w:p>
        </w:tc>
        <w:tc>
          <w:tcPr>
            <w:tcW w:type="dxa" w:w="1987"/>
            <w:vAlign w:val="top"/>
          </w:tcPr>
          <w:p>
            <w:pPr>
              <w:spacing w:after="0"/>
            </w:pPr>
            <w:r/>
            <w:r>
              <w:rPr>
                <w:rFonts w:ascii="Aptos" w:hAnsi="Aptos" w:eastAsia="Aptos"/>
                <w:b w:val="0"/>
                <w:sz w:val="18"/>
              </w:rPr>
              <w:t>Scoped task</w:t>
            </w:r>
          </w:p>
        </w:tc>
        <w:tc>
          <w:tcPr>
            <w:tcW w:type="dxa" w:w="1987"/>
            <w:vAlign w:val="top"/>
          </w:tcPr>
          <w:p>
            <w:pPr>
              <w:spacing w:after="0"/>
            </w:pPr>
            <w:r/>
            <w:r>
              <w:rPr>
                <w:rFonts w:ascii="Aptos" w:hAnsi="Aptos" w:eastAsia="Aptos"/>
                <w:b w:val="0"/>
                <w:sz w:val="18"/>
              </w:rPr>
              <w:t>Project lead</w:t>
            </w:r>
          </w:p>
        </w:tc>
      </w:tr>
      <w:tr>
        <w:tc>
          <w:tcPr>
            <w:tcW w:type="dxa" w:w="1987"/>
            <w:vAlign w:val="top"/>
          </w:tcPr>
          <w:p>
            <w:pPr>
              <w:spacing w:after="0"/>
            </w:pPr>
            <w:r/>
            <w:r>
              <w:rPr>
                <w:rFonts w:ascii="Aptos" w:hAnsi="Aptos" w:eastAsia="Aptos"/>
                <w:b w:val="0"/>
                <w:sz w:val="18"/>
              </w:rPr>
              <w:t>Introduce trusted person</w:t>
            </w:r>
          </w:p>
        </w:tc>
        <w:tc>
          <w:tcPr>
            <w:tcW w:type="dxa" w:w="1987"/>
            <w:vAlign w:val="top"/>
          </w:tcPr>
          <w:p>
            <w:pPr>
              <w:spacing w:after="0"/>
            </w:pPr>
            <w:r/>
            <w:r>
              <w:rPr>
                <w:rFonts w:ascii="Aptos" w:hAnsi="Aptos" w:eastAsia="Aptos"/>
                <w:b w:val="0"/>
                <w:sz w:val="18"/>
              </w:rPr>
              <w:t>Network link</w:t>
            </w:r>
          </w:p>
        </w:tc>
        <w:tc>
          <w:tcPr>
            <w:tcW w:type="dxa" w:w="1987"/>
            <w:vAlign w:val="top"/>
          </w:tcPr>
          <w:p>
            <w:pPr>
              <w:spacing w:after="0"/>
            </w:pPr>
            <w:r/>
            <w:r>
              <w:rPr>
                <w:rFonts w:ascii="Aptos" w:hAnsi="Aptos" w:eastAsia="Aptos"/>
                <w:b w:val="0"/>
                <w:sz w:val="18"/>
              </w:rPr>
              <w:t>Connector</w:t>
            </w:r>
          </w:p>
        </w:tc>
        <w:tc>
          <w:tcPr>
            <w:tcW w:type="dxa" w:w="1987"/>
            <w:vAlign w:val="top"/>
          </w:tcPr>
          <w:p>
            <w:pPr>
              <w:spacing w:after="0"/>
            </w:pPr>
            <w:r/>
            <w:r>
              <w:rPr>
                <w:rFonts w:ascii="Aptos" w:hAnsi="Aptos" w:eastAsia="Aptos"/>
                <w:b w:val="0"/>
                <w:sz w:val="18"/>
              </w:rPr>
              <w:t>One introduction</w:t>
            </w:r>
          </w:p>
        </w:tc>
        <w:tc>
          <w:tcPr>
            <w:tcW w:type="dxa" w:w="1987"/>
            <w:vAlign w:val="top"/>
          </w:tcPr>
          <w:p>
            <w:pPr>
              <w:spacing w:after="0"/>
            </w:pPr>
            <w:r/>
            <w:r>
              <w:rPr>
                <w:rFonts w:ascii="Aptos" w:hAnsi="Aptos" w:eastAsia="Aptos"/>
                <w:b w:val="0"/>
                <w:sz w:val="18"/>
              </w:rPr>
              <w:t>Receiving organisation</w:t>
            </w:r>
          </w:p>
        </w:tc>
      </w:tr>
      <w:tr>
        <w:tc>
          <w:tcPr>
            <w:tcW w:type="dxa" w:w="1987"/>
            <w:vAlign w:val="top"/>
          </w:tcPr>
          <w:p>
            <w:pPr>
              <w:spacing w:after="0"/>
            </w:pPr>
            <w:r/>
            <w:r>
              <w:rPr>
                <w:rFonts w:ascii="Aptos" w:hAnsi="Aptos" w:eastAsia="Aptos"/>
                <w:b w:val="0"/>
                <w:sz w:val="18"/>
              </w:rPr>
              <w:t>Provide time</w:t>
            </w:r>
          </w:p>
        </w:tc>
        <w:tc>
          <w:tcPr>
            <w:tcW w:type="dxa" w:w="1987"/>
            <w:vAlign w:val="top"/>
          </w:tcPr>
          <w:p>
            <w:pPr>
              <w:spacing w:after="0"/>
            </w:pPr>
            <w:r/>
            <w:r>
              <w:rPr>
                <w:rFonts w:ascii="Aptos" w:hAnsi="Aptos" w:eastAsia="Aptos"/>
                <w:b w:val="0"/>
                <w:sz w:val="18"/>
              </w:rPr>
              <w:t>Labour or availability</w:t>
            </w:r>
          </w:p>
        </w:tc>
        <w:tc>
          <w:tcPr>
            <w:tcW w:type="dxa" w:w="1987"/>
            <w:vAlign w:val="top"/>
          </w:tcPr>
          <w:p>
            <w:pPr>
              <w:spacing w:after="0"/>
            </w:pPr>
            <w:r/>
            <w:r>
              <w:rPr>
                <w:rFonts w:ascii="Aptos" w:hAnsi="Aptos" w:eastAsia="Aptos"/>
                <w:b w:val="0"/>
                <w:sz w:val="18"/>
              </w:rPr>
              <w:t>Volunteer or helper</w:t>
            </w:r>
          </w:p>
        </w:tc>
        <w:tc>
          <w:tcPr>
            <w:tcW w:type="dxa" w:w="1987"/>
            <w:vAlign w:val="top"/>
          </w:tcPr>
          <w:p>
            <w:pPr>
              <w:spacing w:after="0"/>
            </w:pPr>
            <w:r/>
            <w:r>
              <w:rPr>
                <w:rFonts w:ascii="Aptos" w:hAnsi="Aptos" w:eastAsia="Aptos"/>
                <w:b w:val="0"/>
                <w:sz w:val="18"/>
              </w:rPr>
              <w:t>Supervised or remote</w:t>
            </w:r>
          </w:p>
        </w:tc>
        <w:tc>
          <w:tcPr>
            <w:tcW w:type="dxa" w:w="1987"/>
            <w:vAlign w:val="top"/>
          </w:tcPr>
          <w:p>
            <w:pPr>
              <w:spacing w:after="0"/>
            </w:pPr>
            <w:r/>
            <w:r>
              <w:rPr>
                <w:rFonts w:ascii="Aptos" w:hAnsi="Aptos" w:eastAsia="Aptos"/>
                <w:b w:val="0"/>
                <w:sz w:val="18"/>
              </w:rPr>
              <w:t>Volunteer coordinator</w:t>
            </w:r>
          </w:p>
        </w:tc>
      </w:tr>
      <w:tr>
        <w:tc>
          <w:tcPr>
            <w:tcW w:type="dxa" w:w="1987"/>
            <w:vAlign w:val="top"/>
          </w:tcPr>
          <w:p>
            <w:pPr>
              <w:spacing w:after="0"/>
            </w:pPr>
            <w:r/>
            <w:r>
              <w:rPr>
                <w:rFonts w:ascii="Aptos" w:hAnsi="Aptos" w:eastAsia="Aptos"/>
                <w:b w:val="0"/>
                <w:sz w:val="18"/>
              </w:rPr>
              <w:t>Preserve history</w:t>
            </w:r>
          </w:p>
        </w:tc>
        <w:tc>
          <w:tcPr>
            <w:tcW w:type="dxa" w:w="1987"/>
            <w:vAlign w:val="top"/>
          </w:tcPr>
          <w:p>
            <w:pPr>
              <w:spacing w:after="0"/>
            </w:pPr>
            <w:r/>
            <w:r>
              <w:rPr>
                <w:rFonts w:ascii="Aptos" w:hAnsi="Aptos" w:eastAsia="Aptos"/>
                <w:b w:val="0"/>
                <w:sz w:val="18"/>
              </w:rPr>
              <w:t>Memory</w:t>
            </w:r>
          </w:p>
        </w:tc>
        <w:tc>
          <w:tcPr>
            <w:tcW w:type="dxa" w:w="1987"/>
            <w:vAlign w:val="top"/>
          </w:tcPr>
          <w:p>
            <w:pPr>
              <w:spacing w:after="0"/>
            </w:pPr>
            <w:r/>
            <w:r>
              <w:rPr>
                <w:rFonts w:ascii="Aptos" w:hAnsi="Aptos" w:eastAsia="Aptos"/>
                <w:b w:val="0"/>
                <w:sz w:val="18"/>
              </w:rPr>
              <w:t>Witness</w:t>
            </w:r>
          </w:p>
        </w:tc>
        <w:tc>
          <w:tcPr>
            <w:tcW w:type="dxa" w:w="1987"/>
            <w:vAlign w:val="top"/>
          </w:tcPr>
          <w:p>
            <w:pPr>
              <w:spacing w:after="0"/>
            </w:pPr>
            <w:r/>
            <w:r>
              <w:rPr>
                <w:rFonts w:ascii="Aptos" w:hAnsi="Aptos" w:eastAsia="Aptos"/>
                <w:b w:val="0"/>
                <w:sz w:val="18"/>
              </w:rPr>
              <w:t>Interview or written note</w:t>
            </w:r>
          </w:p>
        </w:tc>
        <w:tc>
          <w:tcPr>
            <w:tcW w:type="dxa" w:w="1987"/>
            <w:vAlign w:val="top"/>
          </w:tcPr>
          <w:p>
            <w:pPr>
              <w:spacing w:after="0"/>
            </w:pPr>
            <w:r/>
            <w:r>
              <w:rPr>
                <w:rFonts w:ascii="Aptos" w:hAnsi="Aptos" w:eastAsia="Aptos"/>
                <w:b w:val="0"/>
                <w:sz w:val="18"/>
              </w:rPr>
              <w:t>Archive, researcher, group</w:t>
            </w:r>
          </w:p>
        </w:tc>
      </w:tr>
    </w:tbl>
    <w:p/>
    <w:p>
      <w:r>
        <w:t>The table does not decide whether an offer should be accepted. It prevents the first bad collapse: treating the helper as if they must enter the full scene for the affordance to count.</w:t>
      </w:r>
    </w:p>
    <w:p>
      <w:pPr>
        <w:pStyle w:val="Heading1"/>
      </w:pPr>
      <w:r>
        <w:t>9. Absence design</w:t>
      </w:r>
    </w:p>
    <w:p>
      <w:r>
        <w:t>Sometimes the best helper design is absence.</w:t>
      </w:r>
    </w:p>
    <w:p>
      <w:pPr>
        <w:pStyle w:val="CodeBlock"/>
        <w:shd w:fill="F5F5F5"/>
      </w:pPr>
      <w:r>
        <w:t>unlock, then leave</w:t>
      </w:r>
    </w:p>
    <w:p>
      <w:pPr>
        <w:pStyle w:val="CodeBlock"/>
        <w:shd w:fill="F5F5F5"/>
      </w:pPr>
      <w:r>
        <w:t>lend, then step back</w:t>
      </w:r>
    </w:p>
    <w:p>
      <w:pPr>
        <w:pStyle w:val="CodeBlock"/>
        <w:shd w:fill="F5F5F5"/>
      </w:pPr>
      <w:r>
        <w:t>map, then hand over</w:t>
      </w:r>
    </w:p>
    <w:p>
      <w:pPr>
        <w:pStyle w:val="CodeBlock"/>
        <w:shd w:fill="F5F5F5"/>
      </w:pPr>
      <w:r>
        <w:t>donate, then disappear</w:t>
      </w:r>
    </w:p>
    <w:p>
      <w:pPr>
        <w:pStyle w:val="CodeBlock"/>
        <w:shd w:fill="F5F5F5"/>
      </w:pPr>
      <w:r>
        <w:t>introduce, then release</w:t>
      </w:r>
    </w:p>
    <w:p>
      <w:pPr>
        <w:pStyle w:val="CodeBlock"/>
        <w:shd w:fill="F5F5F5"/>
      </w:pPr>
      <w:r>
        <w:t>explain, then stop</w:t>
      </w:r>
    </w:p>
    <w:p>
      <w:r>
        <w:t>Absence design protects everyone. It can reduce reputational fear, contact burden, safeguarding concern, role confusion, and helper capture. It also protects the helper from being converted into mascot, suspect, proof object, or unpaid ongoing service.</w:t>
      </w:r>
    </w:p>
    <w:p>
      <w:r>
        <w:t>The helper must not be forced to appear in order for the affordance to count.</w:t>
      </w:r>
    </w:p>
    <w:p>
      <w:pPr>
        <w:pStyle w:val="Heading1"/>
      </w:pPr>
      <w:r>
        <w:t>10. The Good Bad Reader pass</w:t>
      </w:r>
    </w:p>
    <w:p>
      <w:r>
        <w:t>The Good Bad Reader will misread this as a demand that institutions trust everyone. That is not the argument.</w:t>
      </w:r>
    </w:p>
    <w:p>
      <w:r>
        <w:t>The argument is:</w:t>
      </w:r>
    </w:p>
    <w:p>
      <w:pPr>
        <w:pStyle w:val="CodeBlock"/>
        <w:shd w:fill="F5F5F5"/>
      </w:pPr>
      <w:r>
        <w:t>design before discard</w:t>
      </w:r>
    </w:p>
    <w:p>
      <w:pPr>
        <w:pStyle w:val="CodeBlock"/>
        <w:shd w:fill="F5F5F5"/>
      </w:pPr>
      <w:r>
        <w:t>object separation before rejection</w:t>
      </w:r>
    </w:p>
    <w:p>
      <w:pPr>
        <w:pStyle w:val="CodeBlock"/>
        <w:shd w:fill="F5F5F5"/>
      </w:pPr>
      <w:r>
        <w:t>reasoned refusal instead of discomfort erasure</w:t>
      </w:r>
    </w:p>
    <w:p>
      <w:r>
        <w:t>Some categories genuinely raise concern. That is why design exists. The answer to concern is not always erasure. It can be no-contact use, inspected access, limited scope, written agreement, institutional custody, or rejection with reason.</w:t>
      </w:r>
    </w:p>
    <w:p>
      <w:r>
        <w:t>The Good Bad Reader may also try to make the helper the centre of the paper. That is wrong too. The centre is the blocked relation between social category and civic affordance.</w:t>
      </w:r>
    </w:p>
    <w:p>
      <w:pPr>
        <w:pStyle w:val="Heading1"/>
      </w:pPr>
      <w:r>
        <w:t>11. Evidence Is Not Person bridge</w:t>
      </w:r>
    </w:p>
    <w:p>
      <w:r>
        <w:t>The helper's category is not the offer. The helper's fragment is not the whole civic capacity.</w:t>
      </w:r>
    </w:p>
    <w:p>
      <w:r>
        <w:t>A person may be known through one fragment: a medical label, a joke, an awkward message, a record note, a rumour, a smell, a diagnosis, a speech style, or a visible disability. That fragment may matter. It may also be far too small to carry the person, the offer, or the attached resource.</w:t>
      </w:r>
    </w:p>
    <w:p>
      <w:r>
        <w:t>Evidence Is Not Person protects the helper from becoming only the fragment. The Helper Who Must Not Appear protects the affordance from vanishing with that fragment.</w:t>
      </w:r>
    </w:p>
    <w:p>
      <w:r>
        <w:t>Short fence:</w:t>
      </w:r>
    </w:p>
    <w:p>
      <w:pPr>
        <w:pStyle w:val="CodeBlock"/>
        <w:shd w:fill="F5F5F5"/>
      </w:pPr>
      <w:r>
        <w:t>This category may be relevant to design.</w:t>
      </w:r>
    </w:p>
    <w:p>
      <w:pPr>
        <w:pStyle w:val="CodeBlock"/>
        <w:shd w:fill="F5F5F5"/>
      </w:pPr>
      <w:r>
        <w:t>It is not the offer.</w:t>
      </w:r>
    </w:p>
    <w:p>
      <w:pPr>
        <w:pStyle w:val="CodeBlock"/>
        <w:shd w:fill="F5F5F5"/>
      </w:pPr>
      <w:r>
        <w:t>It is not the whole person.</w:t>
      </w:r>
    </w:p>
    <w:p>
      <w:pPr>
        <w:pStyle w:val="CodeBlock"/>
        <w:shd w:fill="F5F5F5"/>
      </w:pPr>
      <w:r>
        <w:t>It does not by itself settle the civic affordance.</w:t>
      </w:r>
    </w:p>
    <w:p>
      <w:pPr>
        <w:pStyle w:val="Heading1"/>
      </w:pPr>
      <w:r>
        <w:t>12. Relation to the shaded resource problem</w:t>
      </w:r>
    </w:p>
    <w:p>
      <w:r>
        <w:t>The Shaded Classroom Problem is asset-first. It asks why trees, rooms, halls, kitchens, routes, tools, and other local affordances are lost before design.</w:t>
      </w:r>
    </w:p>
    <w:p>
      <w:r>
        <w:t>The Helper Who Must Not Appear is person-position-first. It asks why some people cannot be used as routes to those affordances, even when they do not need to be placed in charge or made visible.</w:t>
      </w:r>
    </w:p>
    <w:p>
      <w:r>
        <w:t>The two problems meet at the same civic wound: the system cannot activate what it cannot socially parse.</w:t>
      </w:r>
    </w:p>
    <w:p>
      <w:pPr>
        <w:pStyle w:val="Heading1"/>
      </w:pPr>
      <w:r>
        <w:t>13. Stack placement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E9EEF5"/>
          </w:tcPr>
          <w:p>
            <w:pPr>
              <w:spacing w:after="0"/>
            </w:pPr>
            <w:r/>
            <w:r>
              <w:rPr>
                <w:rFonts w:ascii="Aptos" w:hAnsi="Aptos" w:eastAsia="Aptos"/>
                <w:b/>
                <w:sz w:val="18"/>
              </w:rPr>
              <w:t>Paper / method</w:t>
            </w:r>
          </w:p>
        </w:tc>
        <w:tc>
          <w:tcPr>
            <w:tcW w:type="dxa" w:w="3312"/>
            <w:vAlign w:val="top"/>
            <w:shd w:fill="E9EEF5"/>
          </w:tcPr>
          <w:p>
            <w:pPr>
              <w:spacing w:after="0"/>
            </w:pPr>
            <w:r/>
            <w:r>
              <w:rPr>
                <w:rFonts w:ascii="Aptos" w:hAnsi="Aptos" w:eastAsia="Aptos"/>
                <w:b/>
                <w:sz w:val="18"/>
              </w:rPr>
              <w:t>Protected object</w:t>
            </w:r>
          </w:p>
        </w:tc>
        <w:tc>
          <w:tcPr>
            <w:tcW w:type="dxa" w:w="3312"/>
            <w:vAlign w:val="top"/>
            <w:shd w:fill="E9EEF5"/>
          </w:tcPr>
          <w:p>
            <w:pPr>
              <w:spacing w:after="0"/>
            </w:pPr>
            <w:r/>
            <w:r>
              <w:rPr>
                <w:rFonts w:ascii="Aptos" w:hAnsi="Aptos" w:eastAsia="Aptos"/>
                <w:b/>
                <w:sz w:val="18"/>
              </w:rPr>
              <w:t>Common swap</w:t>
            </w:r>
          </w:p>
        </w:tc>
      </w:tr>
      <w:tr>
        <w:tc>
          <w:tcPr>
            <w:tcW w:type="dxa" w:w="3312"/>
            <w:vAlign w:val="top"/>
          </w:tcPr>
          <w:p>
            <w:pPr>
              <w:spacing w:after="0"/>
            </w:pPr>
            <w:r/>
            <w:r>
              <w:rPr>
                <w:rFonts w:ascii="Aptos" w:hAnsi="Aptos" w:eastAsia="Aptos"/>
                <w:b w:val="0"/>
                <w:sz w:val="18"/>
              </w:rPr>
              <w:t>Unused Tree / Shaded Classroom</w:t>
            </w:r>
          </w:p>
        </w:tc>
        <w:tc>
          <w:tcPr>
            <w:tcW w:type="dxa" w:w="3312"/>
            <w:vAlign w:val="top"/>
          </w:tcPr>
          <w:p>
            <w:pPr>
              <w:spacing w:after="0"/>
            </w:pPr>
            <w:r/>
            <w:r>
              <w:rPr>
                <w:rFonts w:ascii="Aptos" w:hAnsi="Aptos" w:eastAsia="Aptos"/>
                <w:b w:val="0"/>
                <w:sz w:val="18"/>
              </w:rPr>
              <w:t>latent civic asset</w:t>
            </w:r>
          </w:p>
        </w:tc>
        <w:tc>
          <w:tcPr>
            <w:tcW w:type="dxa" w:w="3312"/>
            <w:vAlign w:val="top"/>
          </w:tcPr>
          <w:p>
            <w:pPr>
              <w:spacing w:after="0"/>
            </w:pPr>
            <w:r/>
            <w:r>
              <w:rPr>
                <w:rFonts w:ascii="Aptos" w:hAnsi="Aptos" w:eastAsia="Aptos"/>
                <w:b w:val="0"/>
                <w:sz w:val="18"/>
              </w:rPr>
              <w:t>no resource exists</w:t>
            </w:r>
          </w:p>
        </w:tc>
      </w:tr>
      <w:tr>
        <w:tc>
          <w:tcPr>
            <w:tcW w:type="dxa" w:w="3312"/>
            <w:vAlign w:val="top"/>
          </w:tcPr>
          <w:p>
            <w:pPr>
              <w:spacing w:after="0"/>
            </w:pPr>
            <w:r/>
            <w:r>
              <w:rPr>
                <w:rFonts w:ascii="Aptos" w:hAnsi="Aptos" w:eastAsia="Aptos"/>
                <w:b w:val="0"/>
                <w:sz w:val="18"/>
              </w:rPr>
              <w:t>Helper Who Must Not Appear</w:t>
            </w:r>
          </w:p>
        </w:tc>
        <w:tc>
          <w:tcPr>
            <w:tcW w:type="dxa" w:w="3312"/>
            <w:vAlign w:val="top"/>
          </w:tcPr>
          <w:p>
            <w:pPr>
              <w:spacing w:after="0"/>
            </w:pPr>
            <w:r/>
            <w:r>
              <w:rPr>
                <w:rFonts w:ascii="Aptos" w:hAnsi="Aptos" w:eastAsia="Aptos"/>
                <w:b w:val="0"/>
                <w:sz w:val="18"/>
              </w:rPr>
              <w:t>person-route to affordance</w:t>
            </w:r>
          </w:p>
        </w:tc>
        <w:tc>
          <w:tcPr>
            <w:tcW w:type="dxa" w:w="3312"/>
            <w:vAlign w:val="top"/>
          </w:tcPr>
          <w:p>
            <w:pPr>
              <w:spacing w:after="0"/>
            </w:pPr>
            <w:r/>
            <w:r>
              <w:rPr>
                <w:rFonts w:ascii="Aptos" w:hAnsi="Aptos" w:eastAsia="Aptos"/>
                <w:b w:val="0"/>
                <w:sz w:val="18"/>
              </w:rPr>
              <w:t>awkward person is the whole offer</w:t>
            </w:r>
          </w:p>
        </w:tc>
      </w:tr>
      <w:tr>
        <w:tc>
          <w:tcPr>
            <w:tcW w:type="dxa" w:w="3312"/>
            <w:vAlign w:val="top"/>
          </w:tcPr>
          <w:p>
            <w:pPr>
              <w:spacing w:after="0"/>
            </w:pPr>
            <w:r/>
            <w:r>
              <w:rPr>
                <w:rFonts w:ascii="Aptos" w:hAnsi="Aptos" w:eastAsia="Aptos"/>
                <w:b w:val="0"/>
                <w:sz w:val="18"/>
              </w:rPr>
              <w:t>Language Police as Access Barrier</w:t>
            </w:r>
          </w:p>
        </w:tc>
        <w:tc>
          <w:tcPr>
            <w:tcW w:type="dxa" w:w="3312"/>
            <w:vAlign w:val="top"/>
          </w:tcPr>
          <w:p>
            <w:pPr>
              <w:spacing w:after="0"/>
            </w:pPr>
            <w:r/>
            <w:r>
              <w:rPr>
                <w:rFonts w:ascii="Aptos" w:hAnsi="Aptos" w:eastAsia="Aptos"/>
                <w:b w:val="0"/>
                <w:sz w:val="18"/>
              </w:rPr>
              <w:t>speaker route into room</w:t>
            </w:r>
          </w:p>
        </w:tc>
        <w:tc>
          <w:tcPr>
            <w:tcW w:type="dxa" w:w="3312"/>
            <w:vAlign w:val="top"/>
          </w:tcPr>
          <w:p>
            <w:pPr>
              <w:spacing w:after="0"/>
            </w:pPr>
            <w:r/>
            <w:r>
              <w:rPr>
                <w:rFonts w:ascii="Aptos" w:hAnsi="Aptos" w:eastAsia="Aptos"/>
                <w:b w:val="0"/>
                <w:sz w:val="18"/>
              </w:rPr>
              <w:t>rough wording equals bad intent</w:t>
            </w:r>
          </w:p>
        </w:tc>
      </w:tr>
      <w:tr>
        <w:tc>
          <w:tcPr>
            <w:tcW w:type="dxa" w:w="3312"/>
            <w:vAlign w:val="top"/>
          </w:tcPr>
          <w:p>
            <w:pPr>
              <w:spacing w:after="0"/>
            </w:pPr>
            <w:r/>
            <w:r>
              <w:rPr>
                <w:rFonts w:ascii="Aptos" w:hAnsi="Aptos" w:eastAsia="Aptos"/>
                <w:b w:val="0"/>
                <w:sz w:val="18"/>
              </w:rPr>
              <w:t>Evidence Is Not Person</w:t>
            </w:r>
          </w:p>
        </w:tc>
        <w:tc>
          <w:tcPr>
            <w:tcW w:type="dxa" w:w="3312"/>
            <w:vAlign w:val="top"/>
          </w:tcPr>
          <w:p>
            <w:pPr>
              <w:spacing w:after="0"/>
            </w:pPr>
            <w:r/>
            <w:r>
              <w:rPr>
                <w:rFonts w:ascii="Aptos" w:hAnsi="Aptos" w:eastAsia="Aptos"/>
                <w:b w:val="0"/>
                <w:sz w:val="18"/>
              </w:rPr>
              <w:t>person behind fragment</w:t>
            </w:r>
          </w:p>
        </w:tc>
        <w:tc>
          <w:tcPr>
            <w:tcW w:type="dxa" w:w="3312"/>
            <w:vAlign w:val="top"/>
          </w:tcPr>
          <w:p>
            <w:pPr>
              <w:spacing w:after="0"/>
            </w:pPr>
            <w:r/>
            <w:r>
              <w:rPr>
                <w:rFonts w:ascii="Aptos" w:hAnsi="Aptos" w:eastAsia="Aptos"/>
                <w:b w:val="0"/>
                <w:sz w:val="18"/>
              </w:rPr>
              <w:t>fragment equals whole person</w:t>
            </w:r>
          </w:p>
        </w:tc>
      </w:tr>
      <w:tr>
        <w:tc>
          <w:tcPr>
            <w:tcW w:type="dxa" w:w="3312"/>
            <w:vAlign w:val="top"/>
          </w:tcPr>
          <w:p>
            <w:pPr>
              <w:spacing w:after="0"/>
            </w:pPr>
            <w:r/>
            <w:r>
              <w:rPr>
                <w:rFonts w:ascii="Aptos" w:hAnsi="Aptos" w:eastAsia="Aptos"/>
                <w:b w:val="0"/>
                <w:sz w:val="18"/>
              </w:rPr>
              <w:t>Good Bad Reader</w:t>
            </w:r>
          </w:p>
        </w:tc>
        <w:tc>
          <w:tcPr>
            <w:tcW w:type="dxa" w:w="3312"/>
            <w:vAlign w:val="top"/>
          </w:tcPr>
          <w:p>
            <w:pPr>
              <w:spacing w:after="0"/>
            </w:pPr>
            <w:r/>
            <w:r>
              <w:rPr>
                <w:rFonts w:ascii="Aptos" w:hAnsi="Aptos" w:eastAsia="Aptos"/>
                <w:b w:val="0"/>
                <w:sz w:val="18"/>
              </w:rPr>
              <w:t>paper object under misreading</w:t>
            </w:r>
          </w:p>
        </w:tc>
        <w:tc>
          <w:tcPr>
            <w:tcW w:type="dxa" w:w="3312"/>
            <w:vAlign w:val="top"/>
          </w:tcPr>
          <w:p>
            <w:pPr>
              <w:spacing w:after="0"/>
            </w:pPr>
            <w:r/>
            <w:r>
              <w:rPr>
                <w:rFonts w:ascii="Aptos" w:hAnsi="Aptos" w:eastAsia="Aptos"/>
                <w:b w:val="0"/>
                <w:sz w:val="18"/>
              </w:rPr>
              <w:t>predictable swap becomes verdict</w:t>
            </w:r>
          </w:p>
        </w:tc>
      </w:tr>
      <w:tr>
        <w:tc>
          <w:tcPr>
            <w:tcW w:type="dxa" w:w="3312"/>
            <w:vAlign w:val="top"/>
          </w:tcPr>
          <w:p>
            <w:pPr>
              <w:spacing w:after="0"/>
            </w:pPr>
            <w:r/>
            <w:r>
              <w:rPr>
                <w:rFonts w:ascii="Aptos" w:hAnsi="Aptos" w:eastAsia="Aptos"/>
                <w:b w:val="0"/>
                <w:sz w:val="18"/>
              </w:rPr>
              <w:t>MOGRI</w:t>
            </w:r>
          </w:p>
        </w:tc>
        <w:tc>
          <w:tcPr>
            <w:tcW w:type="dxa" w:w="3312"/>
            <w:vAlign w:val="top"/>
          </w:tcPr>
          <w:p>
            <w:pPr>
              <w:spacing w:after="0"/>
            </w:pPr>
            <w:r/>
            <w:r>
              <w:rPr>
                <w:rFonts w:ascii="Aptos" w:hAnsi="Aptos" w:eastAsia="Aptos"/>
                <w:b w:val="0"/>
                <w:sz w:val="18"/>
              </w:rPr>
              <w:t>object custody</w:t>
            </w:r>
          </w:p>
        </w:tc>
        <w:tc>
          <w:tcPr>
            <w:tcW w:type="dxa" w:w="3312"/>
            <w:vAlign w:val="top"/>
          </w:tcPr>
          <w:p>
            <w:pPr>
              <w:spacing w:after="0"/>
            </w:pPr>
            <w:r/>
            <w:r>
              <w:rPr>
                <w:rFonts w:ascii="Aptos" w:hAnsi="Aptos" w:eastAsia="Aptos"/>
                <w:b w:val="0"/>
                <w:sz w:val="18"/>
              </w:rPr>
              <w:t>style or alarm replaces target</w:t>
            </w:r>
          </w:p>
        </w:tc>
      </w:tr>
      <w:tr>
        <w:tc>
          <w:tcPr>
            <w:tcW w:type="dxa" w:w="3312"/>
            <w:vAlign w:val="top"/>
          </w:tcPr>
          <w:p>
            <w:pPr>
              <w:spacing w:after="0"/>
            </w:pPr>
            <w:r/>
            <w:r>
              <w:rPr>
                <w:rFonts w:ascii="Aptos" w:hAnsi="Aptos" w:eastAsia="Aptos"/>
                <w:b w:val="0"/>
                <w:sz w:val="18"/>
              </w:rPr>
              <w:t>IMAMI</w:t>
            </w:r>
          </w:p>
        </w:tc>
        <w:tc>
          <w:tcPr>
            <w:tcW w:type="dxa" w:w="3312"/>
            <w:vAlign w:val="top"/>
          </w:tcPr>
          <w:p>
            <w:pPr>
              <w:spacing w:after="0"/>
            </w:pPr>
            <w:r/>
            <w:r>
              <w:rPr>
                <w:rFonts w:ascii="Aptos" w:hAnsi="Aptos" w:eastAsia="Aptos"/>
                <w:b w:val="0"/>
                <w:sz w:val="18"/>
              </w:rPr>
              <w:t>live approach permission</w:t>
            </w:r>
          </w:p>
        </w:tc>
        <w:tc>
          <w:tcPr>
            <w:tcW w:type="dxa" w:w="3312"/>
            <w:vAlign w:val="top"/>
          </w:tcPr>
          <w:p>
            <w:pPr>
              <w:spacing w:after="0"/>
            </w:pPr>
            <w:r/>
            <w:r>
              <w:rPr>
                <w:rFonts w:ascii="Aptos" w:hAnsi="Aptos" w:eastAsia="Aptos"/>
                <w:b w:val="0"/>
                <w:sz w:val="18"/>
              </w:rPr>
              <w:t>help becomes takeover</w:t>
            </w:r>
          </w:p>
        </w:tc>
      </w:tr>
    </w:tbl>
    <w:p/>
    <w:p>
      <w:pPr>
        <w:pStyle w:val="Heading1"/>
      </w:pPr>
      <w:r>
        <w:t>14. Conclusion</w:t>
      </w:r>
    </w:p>
    <w:p>
      <w:r>
        <w:t>The Helper Who Must Not Appear is not a sentimental figure. They are a design problem and a civic resource problem. A system that cannot receive awkward offers will waste awkward capacity. A system that cannot separate helper from asset will keep rejecting rooms, routes, tools, trees, memories, and skills because the wrong person carried them to the door.</w:t>
      </w:r>
    </w:p>
    <w:p>
      <w:r>
        <w:t>Some people are not useless. They are made unusable. The task is not to approve everyone. It is to stop discarding capacity before design has begun.</w:t>
      </w:r>
    </w:p>
    <w:p>
      <w:r>
        <w:t>The helper can offer access without offering themselves. The civic system can inspect, bound, accept, decline, record, or redesign the offer. What it must not do is let discomfort erase the affordance before the object is even placed.</w:t>
      </w:r>
    </w:p>
    <w:p>
      <w:pPr>
        <w:pStyle w:val="Heading1"/>
      </w:pPr>
      <w:r>
        <w:t>Version notes for v0.002</w:t>
      </w:r>
    </w:p>
    <w:p>
      <w:r>
        <w:t>Added:</w:t>
      </w:r>
    </w:p>
    <w:p>
      <w:pPr>
        <w:pStyle w:val="ListNumber"/>
      </w:pPr>
      <w:r>
        <w:t>IMAMI relation and live-say boundary.</w:t>
      </w:r>
    </w:p>
    <w:p>
      <w:pPr>
        <w:pStyle w:val="ListNumber"/>
      </w:pPr>
      <w:r>
        <w:t>Offer / asset / role / contact / custody table.</w:t>
      </w:r>
    </w:p>
    <w:p>
      <w:pPr>
        <w:pStyle w:val="ListNumber"/>
      </w:pPr>
      <w:r>
        <w:t>Absence design.</w:t>
      </w:r>
    </w:p>
    <w:p>
      <w:pPr>
        <w:pStyle w:val="ListNumber"/>
      </w:pPr>
      <w:r>
        <w:t>Good Bad Reader correction: not trust-everyone, design-before-discard.</w:t>
      </w:r>
    </w:p>
    <w:p>
      <w:pPr>
        <w:pStyle w:val="ListNumber"/>
      </w:pPr>
      <w:r>
        <w:t>Evidence Is Not Person bridge.</w:t>
      </w:r>
    </w:p>
    <w:p>
      <w:pPr>
        <w:pStyle w:val="ListNumber"/>
      </w:pPr>
      <w:r>
        <w:t>Stack placement table.</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The Helper Who Must Not Appear v0.002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28282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eastAsia="Aptos Display"/>
      <w:b/>
      <w:bCs/>
      <w:color w:val="373737"/>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eastAsia="Aptos Display"/>
      <w:b/>
      <w:bCs/>
      <w:color w:val="41414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eastAsia="Aptos Display"/>
      <w:b/>
      <w:color w:val="14141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60"/>
      <w:ind w:left="360"/>
    </w:pPr>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