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Visible Value at Göbekli Tepe</w:t>
      </w:r>
    </w:p>
    <w:p>
      <w:pPr>
        <w:pStyle w:val="Subtitle"/>
        <w:jc w:val="center"/>
      </w:pPr>
      <w:r>
        <w:t>Protected Processing, Ground-Stone Labour, and Ritual Aggregation in the Early Neolithic</w:t>
      </w:r>
    </w:p>
    <w:p>
      <w:pPr>
        <w:jc w:val="center"/>
      </w:pPr>
      <w:r>
        <w:rPr>
          <w:b/>
        </w:rPr>
        <w:t>v0.002 working draft</w:t>
      </w:r>
    </w:p>
    <w:p>
      <w:pPr>
        <w:jc w:val="center"/>
      </w:pPr>
      <w:r>
        <w:rPr>
          <w:b/>
        </w:rPr>
        <w:t>Built from the v0.001 protected-processing draft, with added definition, comparison table, projectile-equalisation mechanism, tighter feasting distinction, and stronger test conditions.</w:t>
      </w:r>
    </w:p>
    <w:p>
      <w:pPr>
        <w:pStyle w:val="Heading2"/>
      </w:pPr>
      <w:r>
        <w:t>Abstract</w:t>
      </w:r>
    </w:p>
    <w:p>
      <w:r>
        <w:t>Göbekli Tepe is usually interpreted through monumentality, ritual aggregation, feasting, death practice, animal imagery, and regional symbolic networks. This paper accepts that ritual-social baseline and asks what the unusually large ground-stone assemblage adds to it. More than 7000 grinding and pounding artefacts have been reported from the site, and phytolith evidence supports large-scale cereal processing. Large storage facilities were not identified in the same study, whose authors favour seasonal large work feasts. That interpretation is plausible. The added claim here is narrower: cereal processing itself may have been a central social problem.</w:t>
      </w:r>
    </w:p>
    <w:p>
      <w:r>
        <w:t>Cereal processing converts dispersed seasonal resources into labour-embedded food. It concentrates tools, fatigue, timing, skill, smoke, sound, food value, and social obligation. In a world before formal property regimes, written accounts, offices, or durable governance institutions, such visible value conversion could create recurring encounter pressure among partly familiar and partly unfamiliar groups. Göbekli Tepe's ritual aggregation may therefore have helped make food work socially legible and safer to repeat. Workers were surrounded by witnesses, guests could be sorted into recognizable roles, contributions could be observed, and approach behaviour could be managed without requiring a fortress, state, or constant warfare.</w:t>
      </w:r>
    </w:p>
    <w:p>
      <w:r>
        <w:t xml:space="preserve">The model proposed here is not that Göbekli Tepe was primarily defensive, nor that ritual was a cover for economics. The central enclosures remain ritual architecture. The added claim is that the concentration of cereal-processing labour in a monumental aggregation setting may represent </w:t>
      </w:r>
      <w:r>
        <w:rPr>
          <w:b/>
        </w:rPr>
        <w:t>protected processing</w:t>
      </w:r>
      <w:r>
        <w:t>: a pre-state coordination form around visible value conversion. This interpretation is testable through ground-stone use-wear, spatial patterning, feeder-landscape evidence, threshold organisation, projectile-risk geometry, and regional distribution of comparable aggregation nodes.</w:t>
      </w:r>
    </w:p>
    <w:p>
      <w:pPr>
        <w:pStyle w:val="Heading1"/>
      </w:pPr>
      <w:r>
        <w:t>0. Definition: protected processing</w:t>
      </w:r>
    </w:p>
    <w:p>
      <w:r>
        <w:rPr>
          <w:b/>
        </w:rPr>
        <w:t>Protected processing</w:t>
      </w:r>
      <w:r>
        <w:t xml:space="preserve"> means labour-intensive food conversion made safer through witness density, ritual obligation, approach management, repeated visibility, and social memory.</w:t>
      </w:r>
    </w:p>
    <w:p>
      <w:r>
        <w:t xml:space="preserve">It does </w:t>
      </w:r>
      <w:r>
        <w:rPr>
          <w:b/>
        </w:rPr>
        <w:t>not</w:t>
      </w:r>
      <w:r>
        <w:t xml:space="preserve"> mean fortified processing by default. It does not require a wall, garrison, battlefield, permanent storehouse, or organised enemy. Protection here is social and spatial before it is military. The point is that valuable, tiring, visible labour becomes less interruptible when it happens inside a recurrent gathering field where conduct can be seen, remembered, and interpreted.</w:t>
      </w:r>
    </w:p>
    <w:p>
      <w:r>
        <w:t>A short formula:</w:t>
      </w:r>
    </w:p>
    <w:p>
      <w:pPr>
        <w:spacing w:before="80" w:after="160"/>
        <w:ind w:left="360" w:right="360"/>
      </w:pPr>
      <w:r>
        <w:rPr>
          <w:i/>
        </w:rPr>
        <w:t>dispersed grain + heavy tools + tiring labour + visible food value + uncertain approach = encounter pressure</w:t>
      </w:r>
    </w:p>
    <w:p>
      <w:pPr>
        <w:spacing w:before="80" w:after="160"/>
        <w:ind w:left="360" w:right="360"/>
      </w:pPr>
      <w:r>
        <w:rPr>
          <w:i/>
        </w:rPr>
        <w:t>ritual aggregation + witnesses + role sorting + durable memory = protected processing</w:t>
      </w:r>
    </w:p>
    <w:p>
      <w:pPr>
        <w:pStyle w:val="Heading1"/>
      </w:pPr>
      <w:r>
        <w:t>1. Introduction</w:t>
      </w:r>
    </w:p>
    <w:p>
      <w:r>
        <w:t>Göbekli Tepe has been central to debates about early monumentality, ritual aggregation, hunter-gatherer complexity, feasting, symbolic networks, and the social conditions surrounding the Neolithic transition. Its T-shaped pillars, monumental enclosures, animal imagery, human remains, and regional parallels rightly keep ritual and social identity at the centre of interpretation. Any viable model must begin there. This paper does not argue that Göbekli Tepe was primarily a fort, storage compound, animal trap, labour-capture site, or economic installation.</w:t>
      </w:r>
    </w:p>
    <w:p>
      <w:r>
        <w:t>The problem addressed here is narrower. Göbekli Tepe also preserves an unusually large ground-stone assemblage associated with cereal processing. This evidence is compatible with feasting interpretations, but it deserves stronger analytical attention in its own right. Processing is not a neutral technical step between harvest and consumption. It is labour-intensive, time-sensitive, visible, fatiguing, tool-dependent, and socially consequential. It converts grain from a dispersed seasonal resource into food carrying accumulated labour.</w:t>
      </w:r>
    </w:p>
    <w:p>
      <w:r>
        <w:t>The central argument is that Göbekli Tepe may have functioned partly as a protected aggregation setting for such value conversion. "Protected" here does not mean militarised or fortified in a later sense. It means socially and spatially buffered: processing occurred in a setting where people, tools, food, ritual attention, witnesses, guests, paths, sound, smoke, and repeated return made the activity difficult to isolate, interrupt, or treat as anonymous.</w:t>
      </w:r>
    </w:p>
    <w:p>
      <w:r>
        <w:t>This interpretation adds one layer to existing ritual and feasting models. It does not replace them. Ritual gathering may have been one of the earliest practical forms through which repeated encounter, contribution, food trust, and social obligation could be managed before formal institutions carried those functions.</w:t>
      </w:r>
    </w:p>
    <w:p>
      <w:pPr>
        <w:pStyle w:val="Heading1"/>
      </w:pPr>
      <w:r>
        <w:t>2. Evidence floor: monumentality, ritual, and processing</w:t>
      </w:r>
    </w:p>
    <w:p>
      <w:r>
        <w:t>Göbekli Tepe lies in south-eastern Anatolia and belongs to the Pre-Pottery Neolithic. Its monumental round-oval and rectangular buildings include large T-shaped limestone pillars, some reaching several metres in height. The site is widely understood as a ritual and social aggregation centre, probably linked to communal events, symbolic display, and mortuary practice.</w:t>
      </w:r>
    </w:p>
    <w:p>
      <w:r>
        <w:t>The food-processing evidence is equally important. Dietrich et al. report more than 7000 grinding and pounding artefacts, with phytolith analysis supporting massive cereal presence. Large storage facilities were not identified in that study, and the authors favour seasonal large work feasts. This paper accepts that interpretation as a starting point, then asks a further question: why would so much cereal-processing labour be concentrated at a monumental ritual node?</w:t>
      </w:r>
    </w:p>
    <w:p>
      <w:r>
        <w:t>The key point is not that processing evidence disproves ritual. It does the opposite. It shows that ritual gathering was entangled with practical labour, food conversion, and repeated social coordination. Feasting requires food, but food does not arrive at a feast as an abstraction. It must be harvested, transported, dehusked, pounded, ground, cooked, distributed, and socially interpreted. The ground-stone assemblage therefore anchors a problem of labour organisation as much as a problem of diet.</w:t>
      </w:r>
    </w:p>
    <w:p>
      <w:r>
        <w:t>This evidence floor also fits wider work on aggregation sites, symbolic capital, risk, food sharing, and persistent places. Conkey's treatment of aggregation sites, Bliege Bird and Smith's work on signalling and symbolic capital, Winterhalder's work on risk and food sharing, and Schlanger's work on persistent places all support the broader point that repeated social gatherings can solve practical coordination problems without becoming reducible to economics alone.</w:t>
      </w:r>
    </w:p>
    <w:p>
      <w:pPr>
        <w:pStyle w:val="Heading1"/>
      </w:pPr>
      <w:r>
        <w:t>3. Processing as visible value conversion</w:t>
      </w:r>
    </w:p>
    <w:p>
      <w:r>
        <w:t>Cereal processing is a form of value conversion. Grain in a stand is a seasonal resource. Harvested grain carries additional labour. Ground flour or prepared bread-like food carries still more labour: harvesting, transport, dehusking, grinding, tool wear, fatigue, fire, water, timing, and skill. At each stage the product becomes more socially dense. It embodies calories, but also work.</w:t>
      </w:r>
    </w:p>
    <w:p>
      <w:r>
        <w:t>This matters because early cereal economies did not operate inside mature property systems. Before formal titles, written accounts, taxation, offices, permanent guards, or state law, food value had to be made legible through action and presence. People had to see who contributed, who worked, who hosted, who consumed, who returned, and who violated expectation. Processing therefore had a social visibility problem. It could not be reduced to subsistence.</w:t>
      </w:r>
    </w:p>
    <w:p>
      <w:r>
        <w:t>A dispersed processing pattern exposes individuals or small groups at precisely the moment when labour and food value are concentrated. A protected aggregation pattern changes that risk geometry. Processing near a recurrent gathering node increases witness density, makes approach behaviour more visible, and allows contribution and consumption to be socially remembered.</w:t>
      </w:r>
    </w:p>
    <w:p>
      <w:r>
        <w:t>This does not require constant violence. It requires only repeated uncertainty around valuable, labour-embedded food. Even without warfare, visible processing can create pressure: outsiders may seek access, guests may need roles, contributors may need recognition, and workers may need protection from isolation. Ritual aggregation is one plausible form through which such pressure could be managed.</w:t>
      </w:r>
    </w:p>
    <w:p>
      <w:pPr>
        <w:pStyle w:val="Heading1"/>
      </w:pPr>
      <w:r>
        <w:t>4. Three processing regimes</w:t>
      </w:r>
    </w:p>
    <w:p>
      <w:r>
        <w:t>Protected processing is easiest to see as a middle category.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rPr>
                <w:b/>
                <w:sz w:val="18"/>
              </w:rPr>
              <w:t>Regime</w:t>
            </w:r>
          </w:p>
        </w:tc>
        <w:tc>
          <w:tcPr>
            <w:tcW w:type="dxa" w:w="2448"/>
            <w:shd w:fill="D9EAF7"/>
          </w:tcPr>
          <w:p>
            <w:r>
              <w:rPr>
                <w:b/>
                <w:sz w:val="18"/>
              </w:rPr>
              <w:t>Main setting</w:t>
            </w:r>
          </w:p>
        </w:tc>
        <w:tc>
          <w:tcPr>
            <w:tcW w:type="dxa" w:w="2448"/>
            <w:shd w:fill="D9EAF7"/>
          </w:tcPr>
          <w:p>
            <w:r>
              <w:rPr>
                <w:b/>
                <w:sz w:val="18"/>
              </w:rPr>
              <w:t>How value is protected</w:t>
            </w:r>
          </w:p>
        </w:tc>
        <w:tc>
          <w:tcPr>
            <w:tcW w:type="dxa" w:w="2448"/>
            <w:shd w:fill="D9EAF7"/>
          </w:tcPr>
          <w:p>
            <w:r>
              <w:rPr>
                <w:b/>
                <w:sz w:val="18"/>
              </w:rPr>
              <w:t>Archaeological expectation</w:t>
            </w:r>
          </w:p>
        </w:tc>
      </w:tr>
      <w:tr>
        <w:tc>
          <w:tcPr>
            <w:tcW w:type="dxa" w:w="2448"/>
            <w:vAlign w:val="top"/>
          </w:tcPr>
          <w:p>
            <w:r>
              <w:rPr>
                <w:sz w:val="17"/>
              </w:rPr>
              <w:t>Ordinary domestic processing</w:t>
            </w:r>
          </w:p>
        </w:tc>
        <w:tc>
          <w:tcPr>
            <w:tcW w:type="dxa" w:w="2448"/>
            <w:vAlign w:val="top"/>
          </w:tcPr>
          <w:p>
            <w:r>
              <w:rPr>
                <w:sz w:val="17"/>
              </w:rPr>
              <w:t>household, camp, small work area</w:t>
            </w:r>
          </w:p>
        </w:tc>
        <w:tc>
          <w:tcPr>
            <w:tcW w:type="dxa" w:w="2448"/>
            <w:vAlign w:val="top"/>
          </w:tcPr>
          <w:p>
            <w:r>
              <w:rPr>
                <w:sz w:val="17"/>
              </w:rPr>
              <w:t>familiarity, kinship, daily proximity</w:t>
            </w:r>
          </w:p>
        </w:tc>
        <w:tc>
          <w:tcPr>
            <w:tcW w:type="dxa" w:w="2448"/>
            <w:vAlign w:val="top"/>
          </w:tcPr>
          <w:p>
            <w:r>
              <w:rPr>
                <w:sz w:val="17"/>
              </w:rPr>
              <w:t>small-scale use, domestic scatter, low monumentality</w:t>
            </w:r>
          </w:p>
        </w:tc>
      </w:tr>
      <w:tr>
        <w:tc>
          <w:tcPr>
            <w:tcW w:type="dxa" w:w="2448"/>
            <w:vAlign w:val="top"/>
          </w:tcPr>
          <w:p>
            <w:r>
              <w:rPr>
                <w:sz w:val="17"/>
              </w:rPr>
              <w:t>Protected processing</w:t>
            </w:r>
          </w:p>
        </w:tc>
        <w:tc>
          <w:tcPr>
            <w:tcW w:type="dxa" w:w="2448"/>
            <w:vAlign w:val="top"/>
          </w:tcPr>
          <w:p>
            <w:r>
              <w:rPr>
                <w:sz w:val="17"/>
              </w:rPr>
              <w:t>recurrent aggregation node</w:t>
            </w:r>
          </w:p>
        </w:tc>
        <w:tc>
          <w:tcPr>
            <w:tcW w:type="dxa" w:w="2448"/>
            <w:vAlign w:val="top"/>
          </w:tcPr>
          <w:p>
            <w:r>
              <w:rPr>
                <w:sz w:val="17"/>
              </w:rPr>
              <w:t>witnesses, ritual obligation, role sorting, approach visibility, social memory</w:t>
            </w:r>
          </w:p>
        </w:tc>
        <w:tc>
          <w:tcPr>
            <w:tcW w:type="dxa" w:w="2448"/>
            <w:vAlign w:val="top"/>
          </w:tcPr>
          <w:p>
            <w:r>
              <w:rPr>
                <w:sz w:val="17"/>
              </w:rPr>
              <w:t>high-use ground stone, managed spatial patterning, relation to routes or thresholds, food work near durable gathering markers</w:t>
            </w:r>
          </w:p>
        </w:tc>
      </w:tr>
      <w:tr>
        <w:tc>
          <w:tcPr>
            <w:tcW w:type="dxa" w:w="2448"/>
            <w:vAlign w:val="top"/>
          </w:tcPr>
          <w:p>
            <w:r>
              <w:rPr>
                <w:sz w:val="17"/>
              </w:rPr>
              <w:t>Fortified storage or militarised holding</w:t>
            </w:r>
          </w:p>
        </w:tc>
        <w:tc>
          <w:tcPr>
            <w:tcW w:type="dxa" w:w="2448"/>
            <w:vAlign w:val="top"/>
          </w:tcPr>
          <w:p>
            <w:r>
              <w:rPr>
                <w:sz w:val="17"/>
              </w:rPr>
              <w:t>defended store, enclosure, later institutional context</w:t>
            </w:r>
          </w:p>
        </w:tc>
        <w:tc>
          <w:tcPr>
            <w:tcW w:type="dxa" w:w="2448"/>
            <w:vAlign w:val="top"/>
          </w:tcPr>
          <w:p>
            <w:r>
              <w:rPr>
                <w:sz w:val="17"/>
              </w:rPr>
              <w:t>exclusion, guards, walls, authority, coercion</w:t>
            </w:r>
          </w:p>
        </w:tc>
        <w:tc>
          <w:tcPr>
            <w:tcW w:type="dxa" w:w="2448"/>
            <w:vAlign w:val="top"/>
          </w:tcPr>
          <w:p>
            <w:r>
              <w:rPr>
                <w:sz w:val="17"/>
              </w:rPr>
              <w:t>defensive architecture, controlled access, strong storage signature, conflict indicators</w:t>
            </w:r>
          </w:p>
        </w:tc>
      </w:tr>
    </w:tbl>
    <w:p/>
    <w:p>
      <w:r>
        <w:t>Göbekli Tepe does not need to fit the third category for protection to matter. Its central enclosures can remain ritual architecture while the wider aggregation setting buffers food labour. Processing could be protected by being public, witnessed, and socially embedded.</w:t>
      </w:r>
    </w:p>
    <w:p>
      <w:r>
        <w:t>Several features matter:</w:t>
      </w:r>
    </w:p>
    <w:p>
      <w:pPr>
        <w:pStyle w:val="ListBullet"/>
      </w:pPr>
      <w:r>
        <w:t>Processing was labour-intensive and tiring.</w:t>
      </w:r>
    </w:p>
    <w:p>
      <w:pPr>
        <w:pStyle w:val="ListBullet"/>
      </w:pPr>
      <w:r>
        <w:t>Processing required heavy tools that were not easily moved casually.</w:t>
      </w:r>
    </w:p>
    <w:p>
      <w:pPr>
        <w:pStyle w:val="ListBullet"/>
      </w:pPr>
      <w:r>
        <w:t>Processing produced sound, scent, debris, smoke, and path traffic.</w:t>
      </w:r>
    </w:p>
    <w:p>
      <w:pPr>
        <w:pStyle w:val="ListBullet"/>
      </w:pPr>
      <w:r>
        <w:t>Processing attracted people, animals, guests, helpers, and observers.</w:t>
      </w:r>
    </w:p>
    <w:p>
      <w:pPr>
        <w:pStyle w:val="ListBullet"/>
      </w:pPr>
      <w:r>
        <w:t>Processing transformed food into a socially claimable product.</w:t>
      </w:r>
    </w:p>
    <w:p>
      <w:r>
        <w:t>In that setting, aggregation may have done practical work without ceasing to be ritual. It made food labour harder to isolate. It made approachers easier to classify. It made repeated participation memorable. It turned uncertain arrival into guest conduct, contribution, obligation, refusal, or exclusion.</w:t>
      </w:r>
    </w:p>
    <w:p>
      <w:r>
        <w:t>The word "protected" should therefore not be read as "fortified." It means buffered by social density and repeated visibility.</w:t>
      </w:r>
    </w:p>
    <w:p>
      <w:pPr>
        <w:pStyle w:val="Heading1"/>
      </w:pPr>
      <w:r>
        <w:t>5. Feasting and protected processing</w:t>
      </w:r>
    </w:p>
    <w:p>
      <w:r>
        <w:t>The protected-processing model is compatible with feasting. In fact, feasting is one of its most likely social vehicles. A feast requires accumulation, preparation, cooking, distribution, and social performance. It also requires rules or expectations about who brings food, who works, who receives portions, who hosts, and who gains prestige.</w:t>
      </w:r>
    </w:p>
    <w:p>
      <w:r>
        <w:t>The difference is analytical emphasis. In a simple feasting model, processing may appear as preparation for the main event. In the protected-processing model, processing is itself part of the main event. The labour of making food becomes visible, witnessed, and socially consequential.</w:t>
      </w:r>
    </w:p>
    <w:p>
      <w:r>
        <w:t>This distinction matters especially where storage is limited or archaeologically absent. If large permanent storage facilities are not clearly identified, then the critical concentration of value may have occurred less in long-term stores and more in repeated processing events. The vulnerable moment was not necessarily a permanent granary. It may have been the seasonal convergence of grain, tools, workers, guests, smoke, sound, fatigue, cooked food, and social obligation.</w:t>
      </w:r>
    </w:p>
    <w:p>
      <w:r>
        <w:t>Feasting explains why food is gathered and displayed. Protected processing asks how the labour and approach pressure around food conversion were made manageable.</w:t>
      </w:r>
    </w:p>
    <w:p>
      <w:pPr>
        <w:pStyle w:val="Heading1"/>
      </w:pPr>
      <w:r>
        <w:t>6. Ritual aggregation as encounter management</w:t>
      </w:r>
    </w:p>
    <w:p>
      <w:r>
        <w:t>Ritual aggregation is often treated as a symbolic or ceremonial phenomenon, but it also solves practical coordination problems. A large gathering requires arrival timing, route familiarity, food trust, labour pooling, guest treatment, dispute damping, and shared memory. These are not secondary to ritual. They are part of how ritual works.</w:t>
      </w:r>
    </w:p>
    <w:p>
      <w:r>
        <w:t>In early Neolithic conditions, such gatherings may have managed encounter before formal governance scaled. A returning participant was not simply a consumer. A participant could be a witness, contributor, marriage partner, exchange partner, worker, messenger, or socially accountable guest. A stranger approaching an aggregation node entered a setting where conduct could be watched and remembered.</w:t>
      </w:r>
    </w:p>
    <w:p>
      <w:r>
        <w:t>This approach avoids a false opposition between ritual and practical function. Ritual does not erase food work. Food work does not erase ritual. The point is that repeated ritual gathering could create the social conditions under which labour-intensive processing became safer, more legible, and more repeatable.</w:t>
      </w:r>
    </w:p>
    <w:p>
      <w:pPr>
        <w:pStyle w:val="Heading1"/>
      </w:pPr>
      <w:r>
        <w:t>7. Projectile equalisation and low-level harassment</w:t>
      </w:r>
    </w:p>
    <w:p>
      <w:r>
        <w:t>Encounter pressure does not need to take the form of organised warfare. One concrete mechanism is low-level projectile harassment.</w:t>
      </w:r>
    </w:p>
    <w:p>
      <w:r>
        <w:t>A sling or thrown stone does not need a formal battlefield behind it. It needs distance, height, loose stone, and a stationary target. Grinding and pounding create exactly that target: tired workers, heavy tools, visible food value, repeated location, smoke, sound, path traffic, and attention locked into repetitive labour. Height and stone supply can make a small hostile group, nuisance party, excluded visitor, or status-testing approacher disproportionately disruptive.</w:t>
      </w:r>
    </w:p>
    <w:p>
      <w:r>
        <w:t>This is not a claim that Göbekli Tepe was built as a response to sling warfare. It is a mechanism for understanding why visible processing in isolation can become costly even without war. A projectile does not need to kill to matter. It can interrupt work, test access, scatter labour, punish exclusion, or make a processing place too annoying to use repeatedly.</w:t>
      </w:r>
    </w:p>
    <w:p>
      <w:r>
        <w:t>Aggregation changes that geometry. It increases witnesses, reduces anonymity, makes approach behaviour socially legible, and makes harassment less cheap. A stone thrown at an isolated worker is hard to answer socially. A stone thrown into a witnessed ritual-processing setting identifies the thrower as an approach problem.</w:t>
      </w:r>
    </w:p>
    <w:p>
      <w:r>
        <w:t>The sling makes value conversion vulnerable. Göbekli Tepe may have made harassment visible.</w:t>
      </w:r>
    </w:p>
    <w:p>
      <w:pPr>
        <w:pStyle w:val="Heading1"/>
      </w:pPr>
      <w:r>
        <w:t>8. Soft worlds and hardened nodes</w:t>
      </w:r>
    </w:p>
    <w:p>
      <w:r>
        <w:t>Göbekli Tepe does not require us to imagine a fully stone-built domestic world. Much everyday infrastructure may have consisted of perishable shelters, timber, reeds, hides, matting, baskets, screens, vegetal roofing, and temporary storage. Such materials are archaeologically fragile and vulnerable to fire, weathering, repair, abandonment, and later disturbance.</w:t>
      </w:r>
    </w:p>
    <w:p>
      <w:r>
        <w:t>This creates an important asymmetry. Ordinary life may have remained soft, mobile, seasonal, repairable, and partly dispersed, while high-value communal moments became selectively hardened in stone. The durable archaeological footprint may therefore mark not where everyone lived all the time, but where repeated aggregation, ritual display, processing labour, and social memory converged.</w:t>
      </w:r>
    </w:p>
    <w:p>
      <w:r>
        <w:t>This helps avoid two errors. The first is treating Göbekli Tepe as a fully permanent stone town. The second is treating the absence of extensive domestic architecture as evidence that practical life was irrelevant. A monumental node can be both exceptional and practical. It can harden the occasions where food, labour, people, witnesses, and memory needed durable coordination.</w:t>
      </w:r>
    </w:p>
    <w:p>
      <w:pPr>
        <w:pStyle w:val="Heading1"/>
      </w:pPr>
      <w:r>
        <w:t>9. Material expectations</w:t>
      </w:r>
    </w:p>
    <w:p>
      <w:r>
        <w:t>The model is only useful if it produces expectations beyond general feasting. Several material patterns would strengthen it.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Pr>
                <w:b/>
                <w:sz w:val="18"/>
              </w:rPr>
              <w:t>Research line</w:t>
            </w:r>
          </w:p>
        </w:tc>
        <w:tc>
          <w:tcPr>
            <w:tcW w:type="dxa" w:w="3264"/>
            <w:shd w:fill="D9EAF7"/>
          </w:tcPr>
          <w:p>
            <w:r>
              <w:rPr>
                <w:b/>
                <w:sz w:val="18"/>
              </w:rPr>
              <w:t>Pattern that would support protected processing</w:t>
            </w:r>
          </w:p>
        </w:tc>
        <w:tc>
          <w:tcPr>
            <w:tcW w:type="dxa" w:w="3264"/>
            <w:shd w:fill="D9EAF7"/>
          </w:tcPr>
          <w:p>
            <w:r>
              <w:rPr>
                <w:b/>
                <w:sz w:val="18"/>
              </w:rPr>
              <w:t>Pattern that would weaken it</w:t>
            </w:r>
          </w:p>
        </w:tc>
      </w:tr>
      <w:tr>
        <w:tc>
          <w:tcPr>
            <w:tcW w:type="dxa" w:w="3264"/>
            <w:vAlign w:val="top"/>
          </w:tcPr>
          <w:p>
            <w:r>
              <w:rPr>
                <w:sz w:val="17"/>
              </w:rPr>
              <w:t>Ground-stone use-wear</w:t>
            </w:r>
          </w:p>
        </w:tc>
        <w:tc>
          <w:tcPr>
            <w:tcW w:type="dxa" w:w="3264"/>
            <w:vAlign w:val="top"/>
          </w:tcPr>
          <w:p>
            <w:r>
              <w:rPr>
                <w:sz w:val="17"/>
              </w:rPr>
              <w:t>high-intensity use, repair, fracture, repeated work signatures, possible standardisation</w:t>
            </w:r>
          </w:p>
        </w:tc>
        <w:tc>
          <w:tcPr>
            <w:tcW w:type="dxa" w:w="3264"/>
            <w:vAlign w:val="top"/>
          </w:tcPr>
          <w:p>
            <w:r>
              <w:rPr>
                <w:sz w:val="17"/>
              </w:rPr>
              <w:t>casual discard, low use intensity, no relation to managed labour</w:t>
            </w:r>
          </w:p>
        </w:tc>
      </w:tr>
      <w:tr>
        <w:tc>
          <w:tcPr>
            <w:tcW w:type="dxa" w:w="3264"/>
            <w:vAlign w:val="top"/>
          </w:tcPr>
          <w:p>
            <w:r>
              <w:rPr>
                <w:sz w:val="17"/>
              </w:rPr>
              <w:t>Spatial patterning</w:t>
            </w:r>
          </w:p>
        </w:tc>
        <w:tc>
          <w:tcPr>
            <w:tcW w:type="dxa" w:w="3264"/>
            <w:vAlign w:val="top"/>
          </w:tcPr>
          <w:p>
            <w:r>
              <w:rPr>
                <w:sz w:val="17"/>
              </w:rPr>
              <w:t>processing related to routes, visibility, terraces, gathering spaces, water, discard, thresholds</w:t>
            </w:r>
          </w:p>
        </w:tc>
        <w:tc>
          <w:tcPr>
            <w:tcW w:type="dxa" w:w="3264"/>
            <w:vAlign w:val="top"/>
          </w:tcPr>
          <w:p>
            <w:r>
              <w:rPr>
                <w:sz w:val="17"/>
              </w:rPr>
              <w:t>random distribution explainable by refuse movement alone</w:t>
            </w:r>
          </w:p>
        </w:tc>
      </w:tr>
      <w:tr>
        <w:tc>
          <w:tcPr>
            <w:tcW w:type="dxa" w:w="3264"/>
            <w:vAlign w:val="top"/>
          </w:tcPr>
          <w:p>
            <w:r>
              <w:rPr>
                <w:sz w:val="17"/>
              </w:rPr>
              <w:t>Feeder landscapes</w:t>
            </w:r>
          </w:p>
        </w:tc>
        <w:tc>
          <w:tcPr>
            <w:tcW w:type="dxa" w:w="3264"/>
            <w:vAlign w:val="top"/>
          </w:tcPr>
          <w:p>
            <w:r>
              <w:rPr>
                <w:sz w:val="17"/>
              </w:rPr>
              <w:t>signs of exposed processing being reduced, relocated, or absorbed into communal nodes</w:t>
            </w:r>
          </w:p>
        </w:tc>
        <w:tc>
          <w:tcPr>
            <w:tcW w:type="dxa" w:w="3264"/>
            <w:vAlign w:val="top"/>
          </w:tcPr>
          <w:p>
            <w:r>
              <w:rPr>
                <w:sz w:val="17"/>
              </w:rPr>
              <w:t>durable isolated large-scale processing with no stress or relation to aggregation</w:t>
            </w:r>
          </w:p>
        </w:tc>
      </w:tr>
      <w:tr>
        <w:tc>
          <w:tcPr>
            <w:tcW w:type="dxa" w:w="3264"/>
            <w:vAlign w:val="top"/>
          </w:tcPr>
          <w:p>
            <w:r>
              <w:rPr>
                <w:sz w:val="17"/>
              </w:rPr>
              <w:t>Thresholds and approach zones</w:t>
            </w:r>
          </w:p>
        </w:tc>
        <w:tc>
          <w:tcPr>
            <w:tcW w:type="dxa" w:w="3264"/>
            <w:vAlign w:val="top"/>
          </w:tcPr>
          <w:p>
            <w:r>
              <w:rPr>
                <w:sz w:val="17"/>
              </w:rPr>
              <w:t>route compression, observation points, clustering, delay, screens, controlled paths</w:t>
            </w:r>
          </w:p>
        </w:tc>
        <w:tc>
          <w:tcPr>
            <w:tcW w:type="dxa" w:w="3264"/>
            <w:vAlign w:val="top"/>
          </w:tcPr>
          <w:p>
            <w:r>
              <w:rPr>
                <w:sz w:val="17"/>
              </w:rPr>
              <w:t>no meaningful relation to approach, visibility, or repeated movement</w:t>
            </w:r>
          </w:p>
        </w:tc>
      </w:tr>
      <w:tr>
        <w:tc>
          <w:tcPr>
            <w:tcW w:type="dxa" w:w="3264"/>
            <w:vAlign w:val="top"/>
          </w:tcPr>
          <w:p>
            <w:r>
              <w:rPr>
                <w:sz w:val="17"/>
              </w:rPr>
              <w:t>Projectile-risk geometry</w:t>
            </w:r>
          </w:p>
        </w:tc>
        <w:tc>
          <w:tcPr>
            <w:tcW w:type="dxa" w:w="3264"/>
            <w:vAlign w:val="top"/>
          </w:tcPr>
          <w:p>
            <w:r>
              <w:rPr>
                <w:sz w:val="17"/>
              </w:rPr>
              <w:t>height, line-of-sight, stone availability, or exposed work positions relevant to processing zones</w:t>
            </w:r>
          </w:p>
        </w:tc>
        <w:tc>
          <w:tcPr>
            <w:tcW w:type="dxa" w:w="3264"/>
            <w:vAlign w:val="top"/>
          </w:tcPr>
          <w:p>
            <w:r>
              <w:rPr>
                <w:sz w:val="17"/>
              </w:rPr>
              <w:t>processing located in ways indifferent to exposure or visibility</w:t>
            </w:r>
          </w:p>
        </w:tc>
      </w:tr>
      <w:tr>
        <w:tc>
          <w:tcPr>
            <w:tcW w:type="dxa" w:w="3264"/>
            <w:vAlign w:val="top"/>
          </w:tcPr>
          <w:p>
            <w:r>
              <w:rPr>
                <w:sz w:val="17"/>
              </w:rPr>
              <w:t>Regional comparison</w:t>
            </w:r>
          </w:p>
        </w:tc>
        <w:tc>
          <w:tcPr>
            <w:tcW w:type="dxa" w:w="3264"/>
            <w:vAlign w:val="top"/>
          </w:tcPr>
          <w:p>
            <w:r>
              <w:rPr>
                <w:sz w:val="17"/>
              </w:rPr>
              <w:t>comparable aggregation nodes tied to movement basins, seasonal resources, water, and local territories</w:t>
            </w:r>
          </w:p>
        </w:tc>
        <w:tc>
          <w:tcPr>
            <w:tcW w:type="dxa" w:w="3264"/>
            <w:vAlign w:val="top"/>
          </w:tcPr>
          <w:p>
            <w:r>
              <w:rPr>
                <w:sz w:val="17"/>
              </w:rPr>
              <w:t>distribution unrelated to access, food work, or catchments</w:t>
            </w:r>
          </w:p>
        </w:tc>
      </w:tr>
    </w:tbl>
    <w:p/>
    <w:p>
      <w:r>
        <w:t>These expectations do not require battlefield archaeology. They require convergence among use-wear, spatial patterning, route analysis, taphonomy, local topography, and regional settlement logic.</w:t>
      </w:r>
    </w:p>
    <w:p>
      <w:pPr>
        <w:pStyle w:val="Heading1"/>
      </w:pPr>
      <w:r>
        <w:t>10. What would weaken the model</w:t>
      </w:r>
    </w:p>
    <w:p>
      <w:r>
        <w:t>The protected-processing model would be weakened if future research showed that the ground-stone assemblage lacks high-intensity use signals, meaningful spatial concentration, or association with managed communal activity.</w:t>
      </w:r>
    </w:p>
    <w:p>
      <w:r>
        <w:t>It would also be weakened if contemporary feeder sites showed durable, unprotected, isolated large-scale processing with no stress, no relocation, no relation to communal nodes, and no sign of increased aggregation around food work.</w:t>
      </w:r>
    </w:p>
    <w:p>
      <w:r>
        <w:t>The model would be further weakened if approach routes and threshold zones showed no meaningful relation to visibility, clustering, delay, access management, or repeated movement.</w:t>
      </w:r>
    </w:p>
    <w:p>
      <w:r>
        <w:t>It would also weaken if projectile-risk geometry proved irrelevant: if processing areas were placed without regard to exposure, height, approach lines, work visibility, or interruption risk.</w:t>
      </w:r>
    </w:p>
    <w:p>
      <w:r>
        <w:t>Finally, the model would lose force if a simpler explanation accounted for the same evidence with fewer assumptions: ritual gathering, ordinary feasting, tool discard, refuse movement, and taphonomic mixing alone.</w:t>
      </w:r>
    </w:p>
    <w:p>
      <w:r>
        <w:t>These weakening conditions matter. The argument should not be insulated from failure. Its value lies in guiding research, not in explaining every feature of Göbekli Tepe in advance.</w:t>
      </w:r>
    </w:p>
    <w:p>
      <w:pPr>
        <w:pStyle w:val="Heading1"/>
      </w:pPr>
      <w:r>
        <w:t>11. Discussion</w:t>
      </w:r>
    </w:p>
    <w:p>
      <w:r>
        <w:t>Protected processing offers a way to connect several otherwise separable dimensions of Göbekli Tepe: ritual gathering, cereal labour, monumentality, food sharing, visibility, and pre-state coordination. It does not reduce symbolism to economics. Nor does it treat food preparation as a mundane background activity. Instead, it treats labour-intensive food conversion as one of the settings in which ritual, social identity, obligation, and encounter management became materially organised.</w:t>
      </w:r>
    </w:p>
    <w:p>
      <w:r>
        <w:t>This approach also explains why concealment may not always have been the safest strategy. In low-contact settings, hiding food work may be effective. In repeated-contact settings, concealment becomes difficult. Paths, smoke, grinding sound, cooking scent, fuel gathering, animal activity, visitors, and seasonal return make processing places recognizable. Once a place is known, aggregation may become safer than isolation.</w:t>
      </w:r>
    </w:p>
    <w:p>
      <w:r>
        <w:t>Göbekli Tepe's monumentality can therefore be read as more than display. It may have helped produce a recurring social field in which food labour could be watched, remembered, and repeated. Stone did not need to function as a defensive wall to matter. It created durable recognizability. It told returners that the place, the gathering, and the expectations persisted.</w:t>
      </w:r>
    </w:p>
    <w:p>
      <w:r>
        <w:t>The strongest version of the argument remains modest. Ritual aggregation and protected processing are not rivals. Ritual gathering may have been the medium through which early communities made food labour safer, more legible, and more socially durable.</w:t>
      </w:r>
    </w:p>
    <w:p>
      <w:pPr>
        <w:pStyle w:val="Heading1"/>
      </w:pPr>
      <w:r>
        <w:t>12. Conclusion</w:t>
      </w:r>
    </w:p>
    <w:p>
      <w:r>
        <w:t>Göbekli Tepe should remain first of all a ritual-social aggregation site. Its T-pillars, animal imagery, monumental architecture, mortuary associations, and regional symbolic links cannot be replaced by a single economic or defensive explanation. But the large ground-stone assemblage requires serious interpretation within that ritual frame.</w:t>
      </w:r>
    </w:p>
    <w:p>
      <w:r>
        <w:t>This paper has argued that cereal processing at Göbekli Tepe may represent protected processing: the concentration of labour-intensive value conversion in a witnessed, monumental, recurrent aggregation setting. The model does not require constant warfare, large permanent stores, or a fortress interpretation. It requires only that visible food work created recurring social and practical pressures before formal governance could stabilise access, contribution, and obligation.</w:t>
      </w:r>
    </w:p>
    <w:p>
      <w:r>
        <w:t>The added projectile-equalisation mechanism sharpens, but does not militarise, the argument. If stationary processing labour is vulnerable to low-level harassment, then witness density and approach visibility become practical protections. The protective effect is not primarily a wall. It is a social field in which the nuisance, guest, helper, witness, worker, and threat can be distinguished.</w:t>
      </w:r>
    </w:p>
    <w:p>
      <w:r>
        <w:t>Göbekli Tepe's ground-stone assemblage is therefore not just evidence of what people ate or prepared. It is evidence of how people gathered, worked, watched, remembered, and coordinated around visible value conversion at a critical moment in early Neolithic social history.</w:t>
      </w:r>
    </w:p>
    <w:p>
      <w:pPr>
        <w:pStyle w:val="Heading1"/>
      </w:pPr>
      <w:r>
        <w:t>References to integrate</w:t>
      </w:r>
    </w:p>
    <w:p>
      <w:r>
        <w:t xml:space="preserve">Arranz-Otaegui, A., et al. 2018. Archaeobotanical evidence reveals the origins of bread 14,400 years ago in northeastern Jordan. </w:t>
      </w:r>
      <w:r>
        <w:rPr>
          <w:i/>
        </w:rPr>
        <w:t>PNAS</w:t>
      </w:r>
      <w:r>
        <w:t>.</w:t>
      </w:r>
    </w:p>
    <w:p>
      <w:r>
        <w:t xml:space="preserve">Bliege Bird, R., and E. A. Smith. 2005. Signaling Theory, Strategic Interaction, and Symbolic Capital. </w:t>
      </w:r>
      <w:r>
        <w:rPr>
          <w:i/>
        </w:rPr>
        <w:t>Current Anthropology</w:t>
      </w:r>
      <w:r>
        <w:t>.</w:t>
      </w:r>
    </w:p>
    <w:p>
      <w:r>
        <w:t xml:space="preserve">Conkey, M. W. 1980. The Identification of Prehistoric Hunter-Gatherer Aggregation Sites: The Case of Altamira. </w:t>
      </w:r>
      <w:r>
        <w:rPr>
          <w:i/>
        </w:rPr>
        <w:t>Current Anthropology</w:t>
      </w:r>
      <w:r>
        <w:t>.</w:t>
      </w:r>
    </w:p>
    <w:p>
      <w:r>
        <w:t xml:space="preserve">Dietrich, L., et al. 2019. Cereal processing at Early Neolithic Göbekli Tepe, southeastern Turkey. </w:t>
      </w:r>
      <w:r>
        <w:rPr>
          <w:i/>
        </w:rPr>
        <w:t>PLOS ONE</w:t>
      </w:r>
      <w:r>
        <w:t>.</w:t>
      </w:r>
    </w:p>
    <w:p>
      <w:r>
        <w:t xml:space="preserve">Gresky, J., J. Haelm, and L. Clare. 2017. Modified human crania from Göbekli Tepe provide evidence for a new form of Neolithic skull practice. </w:t>
      </w:r>
      <w:r>
        <w:rPr>
          <w:i/>
        </w:rPr>
        <w:t>Science Advances</w:t>
      </w:r>
      <w:r>
        <w:t>.</w:t>
      </w:r>
    </w:p>
    <w:p>
      <w:r>
        <w:t>Kinzel, M., et al. Built on Rock: Reconstruction of the Neolithic Topography of Göbekli Tepe. Publication details to verify.</w:t>
      </w:r>
    </w:p>
    <w:p>
      <w:r>
        <w:t xml:space="preserve">Knitter, D., et al. 2019. Göbekli Tepe: A Brief Description of the Environmental Development in the Surroundings of the UNESCO World Heritage Site. </w:t>
      </w:r>
      <w:r>
        <w:rPr>
          <w:i/>
        </w:rPr>
        <w:t>Land</w:t>
      </w:r>
      <w:r>
        <w:t>.</w:t>
      </w:r>
    </w:p>
    <w:p>
      <w:r>
        <w:t xml:space="preserve">Peters, J., and K. Schmidt. 2004. Animals in the symbolic world of Pre-Pottery Neolithic Göbekli Tepe. </w:t>
      </w:r>
      <w:r>
        <w:rPr>
          <w:i/>
        </w:rPr>
        <w:t>Anthropozoologica</w:t>
      </w:r>
      <w:r>
        <w:t>.</w:t>
      </w:r>
    </w:p>
    <w:p>
      <w:r>
        <w:t>Schlanger, S. H. 1992. Recognizing persistent places in Anasazi settlement systems. Publication details to verify.</w:t>
      </w:r>
    </w:p>
    <w:p>
      <w:r>
        <w:t>UNESCO World Heritage Centre. Göbekli Tepe.</w:t>
      </w:r>
    </w:p>
    <w:p>
      <w:r>
        <w:t>Winterhalder, B. 1986. Diet choice, risk, and food sharing in a stochastic environment. Publication details to verify.</w:t>
      </w:r>
    </w:p>
    <w:p>
      <w:r>
        <w:t xml:space="preserve">Zeder, M. A. 2011. The Origins of Agriculture in the Near East. </w:t>
      </w:r>
      <w:r>
        <w:rPr>
          <w:i/>
        </w:rPr>
        <w:t>Current Anthropology</w:t>
      </w:r>
      <w:r>
        <w: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Visible Value at Göbekli Tepe · v0.002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