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sz w:val="36"/>
        </w:rPr>
        <w:t>Gobekli Tepe and the First-Perceived-Wealth Problem</w:t>
      </w:r>
    </w:p>
    <w:p>
      <w:pPr>
        <w:jc w:val="center"/>
      </w:pPr>
      <w:r>
        <w:rPr>
          <w:i/>
          <w:sz w:val="23"/>
        </w:rPr>
        <w:t>Protected Processing, Encounter Management, and Visible Value Conversion at the Farming Hinge</w:t>
      </w:r>
    </w:p>
    <w:p>
      <w:pPr>
        <w:jc w:val="center"/>
      </w:pPr>
      <w:r>
        <w:t>Working paper v0.978 | journal-readiness draft | 27 May 2026</w:t>
      </w:r>
    </w:p>
    <w:p>
      <w:pPr>
        <w:pStyle w:val="Heading1"/>
      </w:pPr>
      <w:r>
        <w:t>Abstract</w:t>
      </w:r>
    </w:p>
    <w:p>
      <w:r>
        <w:t>This paper does not argue that Gobekli Tepe was mainly a fort, animal trap, coercive labor extraction site, hunting office, or storage compound. Version 0.978 is a small synthesis patch built from v0.977. It keeps the v0.977 consolidation while adding return-account feedback and competing access-regime framing. The master question remains how humans stabilise repeated contact around visible value conversion before governance scales. The model begins from an observed positive pattern: the unusually large ground-stone processing assemblage in a monumental, ritualised setting.</w:t>
      </w:r>
    </w:p>
    <w:p>
      <w:r>
        <w:rPr>
          <w:rFonts w:ascii="Aptos" w:hAnsi="Aptos" w:eastAsia="Aptos"/>
        </w:rPr>
        <w:t>The core reading remains ritual-social: gathering, feasting, death practice, T-pillars as stone persons, animal imagery, social identity, and regional symbolic network. The added layer is first-perceived-wealth raider-risk. The vulnerable object was not only food. It was the working person embedded in a processing sequence. Protected processing therefore guarded both food value and labouring bodies at the moment when value was being made.</w:t>
      </w:r>
    </w:p>
    <w:p>
      <w:r>
        <w:rPr>
          <w:rFonts w:ascii="Aptos" w:hAnsi="Aptos" w:eastAsia="Aptos"/>
        </w:rPr>
        <w:t>The demographic layer does not require a crisis. Early Holocene abundance could raise carrying capacity, allowing more people, heavier grain draw, and sharper competition around visible cereal processing. Successful bread-making and storage can multiply their users, reduce fallback space for non-storing mobile groups, and make processing nodes worth watching even without exceptional famine.</w:t>
      </w:r>
    </w:p>
    <w:p>
      <w:r>
        <w:t>Version 0.978 adds a bounded arithmetic layer. Exact headcounts remain unavailable, but the relevant quantity is not how many attackers and defenders existed. It is how many hungry-person-days a protected store or processing event could redirect. Even modest cereal storage can represent hundreds of winter survival days. In thin seasonal margins, storage removes uncertainty from open access as much as it adds food to the storing group.</w:t>
      </w:r>
    </w:p>
    <w:p>
      <w:r>
        <w:t>Version 0.978 adds an encounter-management frame. Encounter pressure is not the same as persistent hostility. Repeated contact among partly unfamiliar groups can create demand for witnessed processing, predictable thresholds, guest handling, route memory, and reputational signals even when direct violence remains infrequent. Successful systems should reduce escalation traces, not necessarily leave battlefield residues.</w:t>
      </w:r>
    </w:p>
    <w:p>
      <w:r>
        <w:t>The behavioural sequence remains simple: Q feels safer, Q repeats, X tests, X fails, X remembers, and the visible form inherits cost. The T-pillar tradition need not begin as a formal warning system. It can become a copied visible system of hard, chronic resistance because failed approaches teach competitors that workers in such places are not alone.</w:t>
      </w:r>
    </w:p>
    <w:p>
      <w:r>
        <w:rPr>
          <w:rFonts w:ascii="Aptos" w:hAnsi="Aptos" w:eastAsia="Aptos"/>
        </w:rPr>
        <w:t>The model therefore treats Gobekli Tepe as contact-field infrastructure: a ritual-social aggregation node where processing, witnessing, dogs, smoke, grinding sound, cooking scent, paths, seasonal return, and stone permanence made repeated encounters more manageable. Low-contact worlds can favour concealment. Repeated-contact worlds can favour recognizability, because known places lower uncertainty.</w:t>
      </w:r>
    </w:p>
    <w:p>
      <w:r>
        <w:t>Version 0.978 adds a presence-before-abstraction layer. Before records, titles, taxation, offices, or formal rank can carry coordination at scale, order must appear through bodies, witnesses, grinders, dogs, smoke, guests, movement, and shared memory. In this reading, the monument is not only a symbol of social order. It repeatedly produces the gathered condition through which order can be performed.</w:t>
      </w:r>
    </w:p>
    <w:p>
      <w:r>
        <w:t>Version 0.978 also compresses the causal engine for later testing: exposed value conversion creates repeated uncertain encounter; repeated encounter rewards recognizable nodes; recognizable nodes attract return aggregation; successful aggregation creates prestige, imitation, and regional echo; regional echo then forms a durable coordination landscape. This version adds waste and infill mechanics, stranger-filter logic, propagation friction, and stronger taphonomic support while further demoting tactical detail. It also adds a reduction-of-anonymity frame, treats stone as temporal legibility before records, and shifts the widest protected unit from processing alone toward repeated aggregation around visible value conversion.</w:t>
      </w:r>
    </w:p>
    <w:p>
      <w:pPr/>
      <w:r>
        <w:t>Version 0.978 adds two boundary checks. First, recurring nodes do not merely gather bodies; they gather reports. Injured returners, late arrivals, missing workers, disturbed caches, lost tools, burned shelters, or frightening path encounters can feed risk information back into the aggregation node before direct violence reaches the monumental core. Second, the paper avoids moralising the encounter. X is not evil theft and Q is not innocent ownership. The transition creates competing access regimes around food that has moved from open landscape availability into labour-embedded value.</w:t>
      </w:r>
    </w:p>
    <w:p>
      <w:pPr>
        <w:pStyle w:val="Heading1"/>
      </w:pPr>
      <w:r>
        <w:t>Anti-misread note</w:t>
      </w:r>
    </w:p>
    <w:p>
      <w:r>
        <w:rPr>
          <w:rFonts w:ascii="Aptos" w:hAnsi="Aptos" w:eastAsia="Aptos"/>
        </w:rPr>
        <w:t>The model does not propose that herds were driven into the central enclosures, that T-pillars were fencing posts, that Gobekli Tepe was built to capture labourers, or that ritual was a cover story for economics. The central enclosures remain the ritual core. Any tactical affordance belongs to approaches, thresholds, outer routes, terraces, timber additions, temporary screens, food-adjacent barriers, and feeder-landscape movement, and remains speculative unless field data supports it.</w:t>
      </w:r>
    </w:p>
    <w:p>
      <w:r>
        <w:t>Version 0.978 distinguishes three person-risk claims. It does not claim that the site captured outsiders for labour. It does claim that exposed grain workers in the wider landscape could be seized, coerced, followed, or used to locate stores. It also claims that a protected processing node could make such attacks costly by ensuring that the worker was not alone, unseen, or unsupported.</w:t>
      </w:r>
    </w:p>
    <w:p>
      <w:r>
        <w:t>Version 0.978 also avoids a stone-town misread. The model expects asymmetry: soft everyday structures may leave faint traces, while dangerous communal and processing nodes leave durable stone evidence. It also avoids a concealment-only reading of burial. Covering a site may be self-directed memory management, not necessarily denial of knowledge to outsiders.</w:t>
      </w:r>
    </w:p>
    <w:p>
      <w:r>
        <w:t>Version 0.978 also separates encounter pressure from hostility. The model does not require fixed enemies, constant raiding, or organised warfare. It requires repeated uncertain contact around visible food work before durable governance, territorial norms, or stable guest scripts had fully scaled.</w:t>
      </w:r>
    </w:p>
    <w:p>
      <w:r>
        <w:t>Q and X are not ethnic, racial, or fixed tribal categories. They are encounter positions, not peoples. Q marks actors currently tied to repeated processing, return, node maintenance, and witnessed aggregation. X marks actors approaching from higher-mobility, lower-attachment, or uncertain-access positions. Families, partners, guests, and small groups could move between these positions through hunger, exchange, marriage, imitation, loss, or incorporation. Journal prose should normally describe these roles by function rather than relying on tags.</w:t>
      </w:r>
    </w:p>
    <w:p>
      <w:pPr/>
      <w:r>
        <w:t>The model also avoids moral sorting. X should not be read as wicked raider and Q should not be read as innocent owner. Harvested or processed grain may have looked different from each side of the encounter. To less attached approachers, grain removed from a familiar seasonal landscape could appear as subtraction. To node participants, the same grain had become labour-embedded value tied to workers, timing, tools, witnesses, and return obligations. The issue is access regime formation, not simple virtue against theft.</w:t>
      </w:r>
    </w:p>
    <w:p>
      <w:pPr>
        <w:pStyle w:val="Heading1"/>
      </w:pPr>
      <w:r>
        <w:t>1. Claim status and rank discipline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EDEDED"/>
          </w:tcPr>
          <w:p>
            <w:pPr>
              <w:spacing w:after="0" w:line="240" w:lineRule="auto"/>
            </w:pPr>
            <w:r>
              <w:rPr>
                <w:sz w:val="16"/>
              </w:rPr>
            </w:r>
            <w:r>
              <w:rPr>
                <w:rFonts w:ascii="Aptos" w:hAnsi="Aptos" w:eastAsia="Aptos"/>
                <w:b/>
                <w:sz w:val="16"/>
              </w:rPr>
              <w:t>Rank</w:t>
            </w:r>
          </w:p>
        </w:tc>
        <w:tc>
          <w:tcPr>
            <w:tcW w:type="dxa" w:w="2592"/>
            <w:vAlign w:val="top"/>
            <w:shd w:fill="EDEDED"/>
          </w:tcPr>
          <w:p>
            <w:pPr>
              <w:spacing w:after="0" w:line="240" w:lineRule="auto"/>
            </w:pPr>
            <w:r>
              <w:rPr>
                <w:sz w:val="16"/>
              </w:rPr>
            </w:r>
            <w:r>
              <w:rPr>
                <w:rFonts w:ascii="Aptos" w:hAnsi="Aptos" w:eastAsia="Aptos"/>
                <w:b/>
                <w:sz w:val="16"/>
              </w:rPr>
              <w:t>Function</w:t>
            </w:r>
          </w:p>
        </w:tc>
        <w:tc>
          <w:tcPr>
            <w:tcW w:type="dxa" w:w="2592"/>
            <w:vAlign w:val="top"/>
            <w:shd w:fill="EDEDED"/>
          </w:tcPr>
          <w:p>
            <w:pPr>
              <w:spacing w:after="0" w:line="240" w:lineRule="auto"/>
            </w:pPr>
            <w:r>
              <w:rPr>
                <w:sz w:val="16"/>
              </w:rPr>
            </w:r>
            <w:r>
              <w:rPr>
                <w:rFonts w:ascii="Aptos" w:hAnsi="Aptos" w:eastAsia="Aptos"/>
                <w:b/>
                <w:sz w:val="16"/>
              </w:rPr>
              <w:t>Evidence status</w:t>
            </w:r>
          </w:p>
        </w:tc>
        <w:tc>
          <w:tcPr>
            <w:tcW w:type="dxa" w:w="2592"/>
            <w:vAlign w:val="top"/>
            <w:shd w:fill="EDEDED"/>
          </w:tcPr>
          <w:p>
            <w:pPr>
              <w:spacing w:after="0" w:line="240" w:lineRule="auto"/>
            </w:pPr>
            <w:r>
              <w:rPr>
                <w:sz w:val="16"/>
              </w:rPr>
              <w:t>Use in v0.978</w:t>
            </w:r>
          </w:p>
        </w:tc>
      </w:tr>
      <w:tr>
        <w:tc>
          <w:tcPr>
            <w:tcW w:type="dxa" w:w="2592"/>
            <w:vAlign w:val="top"/>
          </w:tcPr>
          <w:p>
            <w:pPr>
              <w:spacing w:after="0" w:line="240" w:lineRule="auto"/>
            </w:pPr>
            <w:r>
              <w:rPr>
                <w:sz w:val="16"/>
              </w:rPr>
            </w:r>
            <w:r>
              <w:rPr>
                <w:rFonts w:ascii="Aptos" w:hAnsi="Aptos" w:eastAsia="Aptos"/>
                <w:b w:val="0"/>
                <w:sz w:val="16"/>
              </w:rPr>
              <w:t>Core</w:t>
            </w:r>
          </w:p>
        </w:tc>
        <w:tc>
          <w:tcPr>
            <w:tcW w:type="dxa" w:w="2592"/>
            <w:vAlign w:val="top"/>
          </w:tcPr>
          <w:p>
            <w:pPr>
              <w:spacing w:after="0" w:line="240" w:lineRule="auto"/>
            </w:pPr>
            <w:r>
              <w:rPr>
                <w:sz w:val="16"/>
              </w:rPr>
            </w:r>
            <w:r>
              <w:rPr>
                <w:rFonts w:ascii="Aptos" w:hAnsi="Aptos" w:eastAsia="Aptos"/>
                <w:b w:val="0"/>
                <w:sz w:val="16"/>
              </w:rPr>
              <w:t>Ceremonial gathering, feasting, death practice, T-pillars as stone persons, social identity, regional symbolic network.</w:t>
            </w:r>
          </w:p>
        </w:tc>
        <w:tc>
          <w:tcPr>
            <w:tcW w:type="dxa" w:w="2592"/>
            <w:vAlign w:val="top"/>
          </w:tcPr>
          <w:p>
            <w:pPr>
              <w:spacing w:after="0" w:line="240" w:lineRule="auto"/>
            </w:pPr>
            <w:r>
              <w:rPr>
                <w:sz w:val="16"/>
              </w:rPr>
            </w:r>
            <w:r>
              <w:rPr>
                <w:rFonts w:ascii="Aptos" w:hAnsi="Aptos" w:eastAsia="Aptos"/>
                <w:b w:val="0"/>
                <w:sz w:val="16"/>
              </w:rPr>
              <w:t>Strongest fit to present descriptions.</w:t>
            </w:r>
          </w:p>
        </w:tc>
        <w:tc>
          <w:tcPr>
            <w:tcW w:type="dxa" w:w="2592"/>
            <w:vAlign w:val="top"/>
          </w:tcPr>
          <w:p>
            <w:pPr>
              <w:spacing w:after="0" w:line="240" w:lineRule="auto"/>
            </w:pPr>
            <w:r>
              <w:rPr>
                <w:sz w:val="16"/>
              </w:rPr>
            </w:r>
            <w:r>
              <w:rPr>
                <w:rFonts w:ascii="Aptos" w:hAnsi="Aptos" w:eastAsia="Aptos"/>
                <w:b w:val="0"/>
                <w:sz w:val="16"/>
              </w:rPr>
              <w:t>Main frame. Not replaced.</w:t>
            </w:r>
          </w:p>
        </w:tc>
      </w:tr>
      <w:tr>
        <w:tc>
          <w:tcPr>
            <w:tcW w:type="dxa" w:w="2592"/>
            <w:vAlign w:val="top"/>
          </w:tcPr>
          <w:p>
            <w:pPr>
              <w:spacing w:after="0" w:line="240" w:lineRule="auto"/>
            </w:pPr>
            <w:r>
              <w:rPr>
                <w:sz w:val="16"/>
              </w:rPr>
            </w:r>
            <w:r>
              <w:rPr>
                <w:rFonts w:ascii="Aptos" w:hAnsi="Aptos" w:eastAsia="Aptos"/>
                <w:b w:val="0"/>
                <w:sz w:val="16"/>
              </w:rPr>
              <w:t>Central added layer</w:t>
            </w:r>
          </w:p>
        </w:tc>
        <w:tc>
          <w:tcPr>
            <w:tcW w:type="dxa" w:w="2592"/>
            <w:vAlign w:val="top"/>
          </w:tcPr>
          <w:p>
            <w:pPr>
              <w:spacing w:after="0" w:line="240" w:lineRule="auto"/>
            </w:pPr>
            <w:r>
              <w:rPr>
                <w:sz w:val="16"/>
              </w:rPr>
            </w:r>
            <w:r>
              <w:rPr>
                <w:rFonts w:ascii="Aptos" w:hAnsi="Aptos" w:eastAsia="Aptos"/>
                <w:b w:val="0"/>
                <w:sz w:val="16"/>
              </w:rPr>
              <w:t>First-perceived-wealth raider-risk deterrence: guest-role conversion, intimidation, memory, learned avoidance, and rare failed attack.</w:t>
            </w:r>
          </w:p>
        </w:tc>
        <w:tc>
          <w:tcPr>
            <w:tcW w:type="dxa" w:w="2592"/>
            <w:vAlign w:val="top"/>
          </w:tcPr>
          <w:p>
            <w:pPr>
              <w:spacing w:after="0" w:line="240" w:lineRule="auto"/>
            </w:pPr>
            <w:r>
              <w:rPr>
                <w:sz w:val="16"/>
              </w:rPr>
            </w:r>
            <w:r>
              <w:rPr>
                <w:rFonts w:ascii="Aptos" w:hAnsi="Aptos" w:eastAsia="Aptos"/>
                <w:b w:val="0"/>
                <w:sz w:val="16"/>
              </w:rPr>
              <w:t>Compatible and testable, but direct raid proof is absent.</w:t>
            </w:r>
          </w:p>
        </w:tc>
        <w:tc>
          <w:tcPr>
            <w:tcW w:type="dxa" w:w="2592"/>
            <w:vAlign w:val="top"/>
          </w:tcPr>
          <w:p>
            <w:pPr>
              <w:spacing w:after="0" w:line="240" w:lineRule="auto"/>
            </w:pPr>
            <w:r>
              <w:rPr>
                <w:sz w:val="16"/>
              </w:rPr>
            </w:r>
            <w:r>
              <w:rPr>
                <w:rFonts w:ascii="Aptos" w:hAnsi="Aptos" w:eastAsia="Aptos"/>
                <w:b w:val="0"/>
                <w:sz w:val="16"/>
              </w:rPr>
              <w:t>Main thesis layer.</w:t>
            </w:r>
          </w:p>
        </w:tc>
      </w:tr>
      <w:tr>
        <w:tc>
          <w:tcPr>
            <w:tcW w:type="dxa" w:w="2592"/>
            <w:vAlign w:val="top"/>
          </w:tcPr>
          <w:p>
            <w:pPr>
              <w:spacing w:after="0" w:line="240" w:lineRule="auto"/>
            </w:pPr>
            <w:r>
              <w:rPr>
                <w:sz w:val="16"/>
              </w:rPr>
            </w:r>
            <w:r>
              <w:rPr>
                <w:rFonts w:ascii="Aptos" w:hAnsi="Aptos" w:eastAsia="Aptos"/>
                <w:b w:val="0"/>
                <w:sz w:val="16"/>
              </w:rPr>
              <w:t>Positive material anchor</w:t>
            </w:r>
          </w:p>
        </w:tc>
        <w:tc>
          <w:tcPr>
            <w:tcW w:type="dxa" w:w="2592"/>
            <w:vAlign w:val="top"/>
          </w:tcPr>
          <w:p>
            <w:pPr>
              <w:spacing w:after="0" w:line="240" w:lineRule="auto"/>
            </w:pPr>
            <w:r>
              <w:rPr>
                <w:sz w:val="16"/>
              </w:rPr>
            </w:r>
            <w:r>
              <w:rPr>
                <w:rFonts w:ascii="Aptos" w:hAnsi="Aptos" w:eastAsia="Aptos"/>
                <w:b w:val="0"/>
                <w:sz w:val="16"/>
              </w:rPr>
              <w:t>Unusually large ground-stone processing assemblage aggregated in a monumental, ritualised setting.</w:t>
            </w:r>
          </w:p>
        </w:tc>
        <w:tc>
          <w:tcPr>
            <w:tcW w:type="dxa" w:w="2592"/>
            <w:vAlign w:val="top"/>
          </w:tcPr>
          <w:p>
            <w:pPr>
              <w:spacing w:after="0" w:line="240" w:lineRule="auto"/>
            </w:pPr>
            <w:r>
              <w:rPr>
                <w:sz w:val="16"/>
              </w:rPr>
            </w:r>
            <w:r>
              <w:rPr>
                <w:rFonts w:ascii="Aptos" w:hAnsi="Aptos" w:eastAsia="Aptos"/>
                <w:b w:val="0"/>
                <w:sz w:val="16"/>
              </w:rPr>
              <w:t>Observed material pattern. Exact access rules remain unknown.</w:t>
            </w:r>
          </w:p>
        </w:tc>
        <w:tc>
          <w:tcPr>
            <w:tcW w:type="dxa" w:w="2592"/>
            <w:vAlign w:val="top"/>
          </w:tcPr>
          <w:p>
            <w:pPr>
              <w:spacing w:after="0" w:line="240" w:lineRule="auto"/>
            </w:pPr>
            <w:r>
              <w:rPr>
                <w:sz w:val="16"/>
              </w:rPr>
            </w:r>
            <w:r>
              <w:rPr>
                <w:rFonts w:ascii="Aptos" w:hAnsi="Aptos" w:eastAsia="Aptos"/>
                <w:b w:val="0"/>
                <w:sz w:val="16"/>
              </w:rPr>
              <w:t>Moves the argument from missing battle traces to present processing evidence.</w:t>
            </w:r>
          </w:p>
        </w:tc>
      </w:tr>
      <w:tr>
        <w:tc>
          <w:tcPr>
            <w:tcW w:type="dxa" w:w="2592"/>
            <w:vAlign w:val="top"/>
          </w:tcPr>
          <w:p>
            <w:pPr>
              <w:spacing w:after="0" w:line="240" w:lineRule="auto"/>
            </w:pPr>
            <w:r>
              <w:rPr>
                <w:sz w:val="16"/>
              </w:rPr>
            </w:r>
            <w:r>
              <w:rPr>
                <w:rFonts w:ascii="Aptos" w:hAnsi="Aptos" w:eastAsia="Aptos"/>
                <w:b w:val="0"/>
                <w:sz w:val="16"/>
              </w:rPr>
              <w:t>Protected processing layer</w:t>
            </w:r>
          </w:p>
        </w:tc>
        <w:tc>
          <w:tcPr>
            <w:tcW w:type="dxa" w:w="2592"/>
            <w:vAlign w:val="top"/>
          </w:tcPr>
          <w:p>
            <w:pPr>
              <w:spacing w:after="0" w:line="240" w:lineRule="auto"/>
            </w:pPr>
            <w:r>
              <w:rPr>
                <w:sz w:val="16"/>
              </w:rPr>
            </w:r>
            <w:r>
              <w:rPr>
                <w:rFonts w:ascii="Aptos" w:hAnsi="Aptos" w:eastAsia="Aptos"/>
                <w:b w:val="0"/>
                <w:sz w:val="16"/>
              </w:rPr>
              <w:t>Safer conversion of grain into higher-value food under social, ritual, and physical cover.</w:t>
            </w:r>
          </w:p>
        </w:tc>
        <w:tc>
          <w:tcPr>
            <w:tcW w:type="dxa" w:w="2592"/>
            <w:vAlign w:val="top"/>
          </w:tcPr>
          <w:p>
            <w:pPr>
              <w:spacing w:after="0" w:line="240" w:lineRule="auto"/>
            </w:pPr>
            <w:r>
              <w:rPr>
                <w:sz w:val="16"/>
              </w:rPr>
            </w:r>
            <w:r>
              <w:rPr>
                <w:rFonts w:ascii="Aptos" w:hAnsi="Aptos" w:eastAsia="Aptos"/>
                <w:b w:val="0"/>
                <w:sz w:val="16"/>
              </w:rPr>
              <w:t>Supported by the grinding and pounding assemblage, but exact access rules are unknown.</w:t>
            </w:r>
          </w:p>
        </w:tc>
        <w:tc>
          <w:tcPr>
            <w:tcW w:type="dxa" w:w="2592"/>
            <w:vAlign w:val="top"/>
          </w:tcPr>
          <w:p>
            <w:pPr>
              <w:spacing w:after="0" w:line="240" w:lineRule="auto"/>
            </w:pPr>
            <w:r>
              <w:rPr>
                <w:sz w:val="16"/>
              </w:rPr>
            </w:r>
            <w:r>
              <w:rPr>
                <w:rFonts w:ascii="Aptos" w:hAnsi="Aptos" w:eastAsia="Aptos"/>
                <w:b w:val="0"/>
                <w:sz w:val="16"/>
              </w:rPr>
              <w:t>Explains perceived value without requiring large permanent stores.</w:t>
            </w:r>
          </w:p>
        </w:tc>
      </w:tr>
      <w:tr>
        <w:tc>
          <w:tcPr>
            <w:tcW w:type="dxa" w:w="2592"/>
            <w:vAlign w:val="top"/>
          </w:tcPr>
          <w:p>
            <w:pPr>
              <w:spacing w:after="0" w:line="240" w:lineRule="auto"/>
            </w:pPr>
            <w:r>
              <w:rPr>
                <w:sz w:val="16"/>
              </w:rPr>
            </w:r>
            <w:r>
              <w:rPr>
                <w:rFonts w:ascii="Aptos" w:hAnsi="Aptos" w:eastAsia="Aptos"/>
                <w:b w:val="0"/>
                <w:sz w:val="16"/>
              </w:rPr>
              <w:t>Worker-risk layer</w:t>
            </w:r>
          </w:p>
        </w:tc>
        <w:tc>
          <w:tcPr>
            <w:tcW w:type="dxa" w:w="2592"/>
            <w:vAlign w:val="top"/>
          </w:tcPr>
          <w:p>
            <w:pPr>
              <w:spacing w:after="0" w:line="240" w:lineRule="auto"/>
            </w:pPr>
            <w:r>
              <w:rPr>
                <w:sz w:val="16"/>
              </w:rPr>
            </w:r>
            <w:r>
              <w:rPr>
                <w:rFonts w:ascii="Aptos" w:hAnsi="Aptos" w:eastAsia="Aptos"/>
                <w:b w:val="0"/>
                <w:sz w:val="16"/>
              </w:rPr>
              <w:t>Protection of exposed food workers from seizure, coercion, pursuit, and store-location pressure.</w:t>
            </w:r>
          </w:p>
        </w:tc>
        <w:tc>
          <w:tcPr>
            <w:tcW w:type="dxa" w:w="2592"/>
            <w:vAlign w:val="top"/>
          </w:tcPr>
          <w:p>
            <w:pPr>
              <w:spacing w:after="0" w:line="240" w:lineRule="auto"/>
            </w:pPr>
            <w:r>
              <w:rPr>
                <w:sz w:val="16"/>
              </w:rPr>
            </w:r>
            <w:r>
              <w:rPr>
                <w:rFonts w:ascii="Aptos" w:hAnsi="Aptos" w:eastAsia="Aptos"/>
                <w:b w:val="0"/>
                <w:sz w:val="16"/>
              </w:rPr>
              <w:t>A logical risk produced by dispersed exposed processing; signatures must be sought in the feeder landscape.</w:t>
            </w:r>
          </w:p>
        </w:tc>
        <w:tc>
          <w:tcPr>
            <w:tcW w:type="dxa" w:w="2592"/>
            <w:vAlign w:val="top"/>
          </w:tcPr>
          <w:p>
            <w:pPr>
              <w:spacing w:after="0" w:line="240" w:lineRule="auto"/>
            </w:pPr>
            <w:r>
              <w:rPr>
                <w:sz w:val="16"/>
              </w:rPr>
            </w:r>
            <w:r>
              <w:rPr>
                <w:rFonts w:ascii="Aptos" w:hAnsi="Aptos" w:eastAsia="Aptos"/>
                <w:b w:val="0"/>
                <w:sz w:val="16"/>
              </w:rPr>
              <w:t>Explains why the worker, not only the product, matters.</w:t>
            </w:r>
          </w:p>
        </w:tc>
      </w:tr>
      <w:tr>
        <w:tc>
          <w:tcPr>
            <w:tcW w:type="dxa" w:w="2592"/>
            <w:vAlign w:val="top"/>
          </w:tcPr>
          <w:p>
            <w:pPr>
              <w:spacing w:after="0" w:line="240" w:lineRule="auto"/>
            </w:pPr>
            <w:r>
              <w:rPr>
                <w:sz w:val="16"/>
              </w:rPr>
            </w:r>
            <w:r>
              <w:rPr>
                <w:rFonts w:ascii="Aptos" w:hAnsi="Aptos" w:eastAsia="Aptos"/>
                <w:b w:val="0"/>
                <w:sz w:val="16"/>
              </w:rPr>
              <w:t>Demographic pressure layer</w:t>
            </w:r>
          </w:p>
        </w:tc>
        <w:tc>
          <w:tcPr>
            <w:tcW w:type="dxa" w:w="2592"/>
            <w:vAlign w:val="top"/>
          </w:tcPr>
          <w:p>
            <w:pPr>
              <w:spacing w:after="0" w:line="240" w:lineRule="auto"/>
            </w:pPr>
            <w:r>
              <w:rPr>
                <w:sz w:val="16"/>
              </w:rPr>
            </w:r>
            <w:r>
              <w:rPr>
                <w:rFonts w:ascii="Aptos" w:hAnsi="Aptos" w:eastAsia="Aptos"/>
                <w:b w:val="0"/>
                <w:sz w:val="16"/>
              </w:rPr>
              <w:t>Successful bread-making and storage increase population and grain draw, reducing fallback space for non-storing groups.</w:t>
            </w:r>
          </w:p>
        </w:tc>
        <w:tc>
          <w:tcPr>
            <w:tcW w:type="dxa" w:w="2592"/>
            <w:vAlign w:val="top"/>
          </w:tcPr>
          <w:p>
            <w:pPr>
              <w:spacing w:after="0" w:line="240" w:lineRule="auto"/>
            </w:pPr>
            <w:r>
              <w:rPr>
                <w:sz w:val="16"/>
              </w:rPr>
            </w:r>
            <w:r>
              <w:rPr>
                <w:rFonts w:ascii="Aptos" w:hAnsi="Aptos" w:eastAsia="Aptos"/>
                <w:b w:val="0"/>
                <w:sz w:val="16"/>
              </w:rPr>
              <w:t>Modelled as ordinary resource pressure, intensified but not caused by crisis.</w:t>
            </w:r>
          </w:p>
        </w:tc>
        <w:tc>
          <w:tcPr>
            <w:tcW w:type="dxa" w:w="2592"/>
            <w:vAlign w:val="top"/>
          </w:tcPr>
          <w:p>
            <w:pPr>
              <w:spacing w:after="0" w:line="240" w:lineRule="auto"/>
            </w:pPr>
            <w:r>
              <w:rPr>
                <w:sz w:val="16"/>
              </w:rPr>
            </w:r>
            <w:r>
              <w:rPr>
                <w:rFonts w:ascii="Aptos" w:hAnsi="Aptos" w:eastAsia="Aptos"/>
                <w:b w:val="0"/>
                <w:sz w:val="16"/>
              </w:rPr>
              <w:t>Prevents the paper from depending on famine or collapse.</w:t>
            </w:r>
          </w:p>
        </w:tc>
      </w:tr>
      <w:tr>
        <w:tc>
          <w:tcPr>
            <w:tcW w:type="dxa" w:w="2592"/>
            <w:vAlign w:val="top"/>
          </w:tcPr>
          <w:p>
            <w:pPr>
              <w:spacing w:after="0" w:line="240" w:lineRule="auto"/>
            </w:pPr>
            <w:r>
              <w:rPr>
                <w:sz w:val="16"/>
              </w:rPr>
            </w:r>
            <w:r>
              <w:rPr>
                <w:rFonts w:ascii="Aptos" w:hAnsi="Aptos" w:eastAsia="Aptos"/>
                <w:b w:val="0"/>
                <w:sz w:val="16"/>
              </w:rPr>
              <w:t>Copied visible system layer</w:t>
            </w:r>
          </w:p>
        </w:tc>
        <w:tc>
          <w:tcPr>
            <w:tcW w:type="dxa" w:w="2592"/>
            <w:vAlign w:val="top"/>
          </w:tcPr>
          <w:p>
            <w:pPr>
              <w:spacing w:after="0" w:line="240" w:lineRule="auto"/>
            </w:pPr>
            <w:r>
              <w:rPr>
                <w:sz w:val="16"/>
              </w:rPr>
              <w:t>Q repeats safer clustering; X learns from failed approaches; the visible form inherits the bite.</w:t>
            </w:r>
          </w:p>
        </w:tc>
        <w:tc>
          <w:tcPr>
            <w:tcW w:type="dxa" w:w="2592"/>
            <w:vAlign w:val="top"/>
          </w:tcPr>
          <w:p>
            <w:pPr>
              <w:spacing w:after="0" w:line="240" w:lineRule="auto"/>
            </w:pPr>
            <w:r>
              <w:rPr>
                <w:sz w:val="16"/>
              </w:rPr>
            </w:r>
            <w:r>
              <w:rPr>
                <w:rFonts w:ascii="Aptos" w:hAnsi="Aptos" w:eastAsia="Aptos"/>
                <w:b w:val="0"/>
                <w:sz w:val="16"/>
              </w:rPr>
              <w:t>Behavioural interpretation of repetition, failed testing, regional memory, and copied form.</w:t>
            </w:r>
          </w:p>
        </w:tc>
        <w:tc>
          <w:tcPr>
            <w:tcW w:type="dxa" w:w="2592"/>
            <w:vAlign w:val="top"/>
          </w:tcPr>
          <w:p>
            <w:pPr>
              <w:spacing w:after="0" w:line="240" w:lineRule="auto"/>
            </w:pPr>
            <w:r>
              <w:rPr>
                <w:sz w:val="16"/>
              </w:rPr>
            </w:r>
            <w:r>
              <w:rPr>
                <w:rFonts w:ascii="Aptos" w:hAnsi="Aptos" w:eastAsia="Aptos"/>
                <w:b w:val="0"/>
                <w:sz w:val="16"/>
              </w:rPr>
              <w:t>Replaces proto-law with learned hard chronic resistance.</w:t>
            </w:r>
          </w:p>
        </w:tc>
      </w:tr>
      <w:tr>
        <w:tc>
          <w:tcPr>
            <w:tcW w:type="dxa" w:w="2592"/>
            <w:vAlign w:val="top"/>
          </w:tcPr>
          <w:p>
            <w:pPr>
              <w:spacing w:after="0" w:line="240" w:lineRule="auto"/>
            </w:pPr>
            <w:r>
              <w:rPr>
                <w:sz w:val="16"/>
              </w:rPr>
            </w:r>
            <w:r>
              <w:rPr>
                <w:rFonts w:ascii="Aptos" w:hAnsi="Aptos" w:eastAsia="Aptos"/>
                <w:b w:val="0"/>
                <w:sz w:val="16"/>
              </w:rPr>
              <w:t>Soft domestic layer</w:t>
            </w:r>
          </w:p>
        </w:tc>
        <w:tc>
          <w:tcPr>
            <w:tcW w:type="dxa" w:w="2592"/>
            <w:vAlign w:val="top"/>
          </w:tcPr>
          <w:p>
            <w:pPr>
              <w:spacing w:after="0" w:line="240" w:lineRule="auto"/>
            </w:pPr>
            <w:r>
              <w:rPr>
                <w:sz w:val="16"/>
              </w:rPr>
            </w:r>
            <w:r>
              <w:rPr>
                <w:rFonts w:ascii="Aptos" w:hAnsi="Aptos" w:eastAsia="Aptos"/>
                <w:b w:val="0"/>
                <w:sz w:val="16"/>
              </w:rPr>
              <w:t>Everyday life could remain perishable, repairable, seasonal, and partly dispersed while dangerous value-dense moments were hardened in stone.</w:t>
            </w:r>
          </w:p>
        </w:tc>
        <w:tc>
          <w:tcPr>
            <w:tcW w:type="dxa" w:w="2592"/>
            <w:vAlign w:val="top"/>
          </w:tcPr>
          <w:p>
            <w:pPr>
              <w:spacing w:after="0" w:line="240" w:lineRule="auto"/>
            </w:pPr>
            <w:r>
              <w:rPr>
                <w:sz w:val="16"/>
              </w:rPr>
            </w:r>
            <w:r>
              <w:rPr>
                <w:rFonts w:ascii="Aptos" w:hAnsi="Aptos" w:eastAsia="Aptos"/>
                <w:b w:val="0"/>
                <w:sz w:val="16"/>
              </w:rPr>
              <w:t>Supported as an architectural expectation and preservation problem; direct domestic record is partial.</w:t>
            </w:r>
          </w:p>
        </w:tc>
        <w:tc>
          <w:tcPr>
            <w:tcW w:type="dxa" w:w="2592"/>
            <w:vAlign w:val="top"/>
          </w:tcPr>
          <w:p>
            <w:pPr>
              <w:spacing w:after="0" w:line="240" w:lineRule="auto"/>
            </w:pPr>
            <w:r>
              <w:rPr>
                <w:sz w:val="16"/>
              </w:rPr>
            </w:r>
            <w:r>
              <w:rPr>
                <w:rFonts w:ascii="Aptos" w:hAnsi="Aptos" w:eastAsia="Aptos"/>
                <w:b w:val="0"/>
                <w:sz w:val="16"/>
              </w:rPr>
              <w:t>Prevents a false stone-town reading and explains selective hardening.</w:t>
            </w:r>
          </w:p>
        </w:tc>
      </w:tr>
      <w:tr>
        <w:tc>
          <w:tcPr>
            <w:tcW w:type="dxa" w:w="2592"/>
            <w:vAlign w:val="top"/>
          </w:tcPr>
          <w:p>
            <w:pPr>
              <w:spacing w:after="0" w:line="240" w:lineRule="auto"/>
            </w:pPr>
            <w:r>
              <w:rPr>
                <w:sz w:val="16"/>
              </w:rPr>
            </w:r>
            <w:r>
              <w:rPr>
                <w:rFonts w:ascii="Aptos" w:hAnsi="Aptos" w:eastAsia="Aptos"/>
                <w:b w:val="0"/>
                <w:sz w:val="16"/>
              </w:rPr>
              <w:t>Regional service-node mesh</w:t>
            </w:r>
          </w:p>
        </w:tc>
        <w:tc>
          <w:tcPr>
            <w:tcW w:type="dxa" w:w="2592"/>
            <w:vAlign w:val="top"/>
          </w:tcPr>
          <w:p>
            <w:pPr>
              <w:spacing w:after="0" w:line="240" w:lineRule="auto"/>
            </w:pPr>
            <w:r>
              <w:rPr>
                <w:sz w:val="16"/>
              </w:rPr>
            </w:r>
            <w:r>
              <w:rPr>
                <w:rFonts w:ascii="Aptos" w:hAnsi="Aptos" w:eastAsia="Aptos"/>
                <w:b w:val="0"/>
                <w:sz w:val="16"/>
              </w:rPr>
              <w:t>T-pillar sites may be locally scaled aggregation nodes spaced by walking catchments, resource basins, approach routes, and population territories.</w:t>
            </w:r>
          </w:p>
        </w:tc>
        <w:tc>
          <w:tcPr>
            <w:tcW w:type="dxa" w:w="2592"/>
            <w:vAlign w:val="top"/>
          </w:tcPr>
          <w:p>
            <w:pPr>
              <w:spacing w:after="0" w:line="240" w:lineRule="auto"/>
            </w:pPr>
            <w:r>
              <w:rPr>
                <w:sz w:val="16"/>
              </w:rPr>
            </w:r>
            <w:r>
              <w:rPr>
                <w:rFonts w:ascii="Aptos" w:hAnsi="Aptos" w:eastAsia="Aptos"/>
                <w:b w:val="0"/>
                <w:sz w:val="16"/>
              </w:rPr>
              <w:t>Modelled from regional site patterning; exact sequence remains open.</w:t>
            </w:r>
          </w:p>
        </w:tc>
        <w:tc>
          <w:tcPr>
            <w:tcW w:type="dxa" w:w="2592"/>
            <w:vAlign w:val="top"/>
          </w:tcPr>
          <w:p>
            <w:pPr>
              <w:spacing w:after="0" w:line="240" w:lineRule="auto"/>
            </w:pPr>
            <w:r>
              <w:rPr>
                <w:sz w:val="16"/>
              </w:rPr>
            </w:r>
            <w:r>
              <w:rPr>
                <w:rFonts w:ascii="Aptos" w:hAnsi="Aptos" w:eastAsia="Aptos"/>
                <w:b w:val="0"/>
                <w:sz w:val="16"/>
              </w:rPr>
              <w:t>Keeps KT/GT chronology open and avoids a capital-and-colonies frame.</w:t>
            </w:r>
          </w:p>
        </w:tc>
      </w:tr>
      <w:tr>
        <w:tc>
          <w:tcPr>
            <w:tcW w:type="dxa" w:w="2592"/>
            <w:vAlign w:val="top"/>
          </w:tcPr>
          <w:p>
            <w:pPr>
              <w:spacing w:after="0" w:line="240" w:lineRule="auto"/>
            </w:pPr>
            <w:r>
              <w:rPr>
                <w:sz w:val="16"/>
              </w:rPr>
            </w:r>
            <w:r>
              <w:rPr>
                <w:rFonts w:ascii="Aptos" w:hAnsi="Aptos" w:eastAsia="Aptos"/>
                <w:b w:val="0"/>
                <w:sz w:val="16"/>
              </w:rPr>
              <w:t>End-state and burial layer</w:t>
            </w:r>
          </w:p>
        </w:tc>
        <w:tc>
          <w:tcPr>
            <w:tcW w:type="dxa" w:w="2592"/>
            <w:vAlign w:val="top"/>
          </w:tcPr>
          <w:p>
            <w:pPr>
              <w:spacing w:after="0" w:line="240" w:lineRule="auto"/>
            </w:pPr>
            <w:r>
              <w:rPr>
                <w:sz w:val="16"/>
              </w:rPr>
            </w:r>
            <w:r>
              <w:rPr>
                <w:rFonts w:ascii="Aptos" w:hAnsi="Aptos" w:eastAsia="Aptos"/>
                <w:b w:val="0"/>
                <w:sz w:val="16"/>
              </w:rPr>
              <w:t>As outside competitors become guests, kin, partners, and participants, hard-resistance nodes lose their original role; covering may retire a painful former necessity.</w:t>
            </w:r>
          </w:p>
        </w:tc>
        <w:tc>
          <w:tcPr>
            <w:tcW w:type="dxa" w:w="2592"/>
            <w:vAlign w:val="top"/>
          </w:tcPr>
          <w:p>
            <w:pPr>
              <w:spacing w:after="0" w:line="240" w:lineRule="auto"/>
            </w:pPr>
            <w:r>
              <w:rPr>
                <w:sz w:val="16"/>
              </w:rPr>
            </w:r>
            <w:r>
              <w:rPr>
                <w:rFonts w:ascii="Aptos" w:hAnsi="Aptos" w:eastAsia="Aptos"/>
                <w:b w:val="0"/>
                <w:sz w:val="16"/>
              </w:rPr>
              <w:t>Interpretive endpoint, not proof of motive.</w:t>
            </w:r>
          </w:p>
        </w:tc>
        <w:tc>
          <w:tcPr>
            <w:tcW w:type="dxa" w:w="2592"/>
            <w:vAlign w:val="top"/>
          </w:tcPr>
          <w:p>
            <w:pPr>
              <w:spacing w:after="0" w:line="240" w:lineRule="auto"/>
            </w:pPr>
            <w:r>
              <w:rPr>
                <w:sz w:val="16"/>
              </w:rPr>
            </w:r>
            <w:r>
              <w:rPr>
                <w:rFonts w:ascii="Aptos" w:hAnsi="Aptos" w:eastAsia="Aptos"/>
                <w:b w:val="0"/>
                <w:sz w:val="16"/>
              </w:rPr>
              <w:t>Explains burial without requiring concealment from outsiders.</w:t>
            </w:r>
          </w:p>
        </w:tc>
      </w:tr>
      <w:tr>
        <w:tc>
          <w:tcPr>
            <w:tcW w:type="dxa" w:w="2592"/>
            <w:vAlign w:val="top"/>
          </w:tcPr>
          <w:p>
            <w:pPr>
              <w:spacing w:after="0" w:line="240" w:lineRule="auto"/>
            </w:pPr>
            <w:r>
              <w:rPr>
                <w:sz w:val="16"/>
              </w:rPr>
            </w:r>
            <w:r>
              <w:rPr>
                <w:rFonts w:ascii="Aptos" w:hAnsi="Aptos" w:eastAsia="Aptos"/>
                <w:b w:val="0"/>
                <w:sz w:val="16"/>
              </w:rPr>
              <w:t>Supporting competence layer</w:t>
            </w:r>
          </w:p>
        </w:tc>
        <w:tc>
          <w:tcPr>
            <w:tcW w:type="dxa" w:w="2592"/>
            <w:vAlign w:val="top"/>
          </w:tcPr>
          <w:p>
            <w:pPr>
              <w:spacing w:after="0" w:line="240" w:lineRule="auto"/>
            </w:pPr>
            <w:r>
              <w:rPr>
                <w:sz w:val="16"/>
              </w:rPr>
            </w:r>
            <w:r>
              <w:rPr>
                <w:rFonts w:ascii="Aptos" w:hAnsi="Aptos" w:eastAsia="Aptos"/>
                <w:b w:val="0"/>
                <w:sz w:val="16"/>
              </w:rPr>
              <w:t>Hunting, feasting, animal danger, food processing, coordinated movement, large gatherings.</w:t>
            </w:r>
          </w:p>
        </w:tc>
        <w:tc>
          <w:tcPr>
            <w:tcW w:type="dxa" w:w="2592"/>
            <w:vAlign w:val="top"/>
          </w:tcPr>
          <w:p>
            <w:pPr>
              <w:spacing w:after="0" w:line="240" w:lineRule="auto"/>
            </w:pPr>
            <w:r>
              <w:rPr>
                <w:sz w:val="16"/>
              </w:rPr>
            </w:r>
            <w:r>
              <w:rPr>
                <w:rFonts w:ascii="Aptos" w:hAnsi="Aptos" w:eastAsia="Aptos"/>
                <w:b w:val="0"/>
                <w:sz w:val="16"/>
              </w:rPr>
              <w:t>Supported by fauna, aurochs hunting lesion, gazelle seasonality questions, and grinding/pounding tools.</w:t>
            </w:r>
          </w:p>
        </w:tc>
        <w:tc>
          <w:tcPr>
            <w:tcW w:type="dxa" w:w="2592"/>
            <w:vAlign w:val="top"/>
          </w:tcPr>
          <w:p>
            <w:pPr>
              <w:spacing w:after="0" w:line="240" w:lineRule="auto"/>
            </w:pPr>
            <w:r>
              <w:rPr>
                <w:sz w:val="16"/>
              </w:rPr>
            </w:r>
            <w:r>
              <w:rPr>
                <w:rFonts w:ascii="Aptos" w:hAnsi="Aptos" w:eastAsia="Aptos"/>
                <w:b w:val="0"/>
                <w:sz w:val="16"/>
              </w:rPr>
              <w:t>Shows competence. Does not make an animal-trap model.</w:t>
            </w:r>
          </w:p>
        </w:tc>
      </w:tr>
      <w:tr>
        <w:tc>
          <w:tcPr>
            <w:tcW w:type="dxa" w:w="2592"/>
            <w:vAlign w:val="top"/>
          </w:tcPr>
          <w:p>
            <w:pPr>
              <w:spacing w:after="0" w:line="240" w:lineRule="auto"/>
            </w:pPr>
            <w:r>
              <w:rPr>
                <w:sz w:val="16"/>
              </w:rPr>
            </w:r>
            <w:r>
              <w:rPr>
                <w:rFonts w:ascii="Aptos" w:hAnsi="Aptos" w:eastAsia="Aptos"/>
                <w:b w:val="0"/>
                <w:sz w:val="16"/>
              </w:rPr>
              <w:t>Low-rank mechanisms</w:t>
            </w:r>
          </w:p>
        </w:tc>
        <w:tc>
          <w:tcPr>
            <w:tcW w:type="dxa" w:w="2592"/>
            <w:vAlign w:val="top"/>
          </w:tcPr>
          <w:p>
            <w:pPr>
              <w:spacing w:after="0" w:line="240" w:lineRule="auto"/>
            </w:pPr>
            <w:r>
              <w:rPr>
                <w:sz w:val="16"/>
              </w:rPr>
            </w:r>
            <w:r>
              <w:rPr>
                <w:rFonts w:ascii="Aptos" w:hAnsi="Aptos" w:eastAsia="Aptos"/>
                <w:b w:val="0"/>
                <w:sz w:val="16"/>
              </w:rPr>
              <w:t>Delay, reroute, falling-stone affordance, roof or upper-surface failure, taphonomic loss, competitor displacement.</w:t>
            </w:r>
          </w:p>
        </w:tc>
        <w:tc>
          <w:tcPr>
            <w:tcW w:type="dxa" w:w="2592"/>
            <w:vAlign w:val="top"/>
          </w:tcPr>
          <w:p>
            <w:pPr>
              <w:spacing w:after="0" w:line="240" w:lineRule="auto"/>
            </w:pPr>
            <w:r>
              <w:rPr>
                <w:sz w:val="16"/>
              </w:rPr>
            </w:r>
            <w:r>
              <w:rPr>
                <w:rFonts w:ascii="Aptos" w:hAnsi="Aptos" w:eastAsia="Aptos"/>
                <w:b w:val="0"/>
                <w:sz w:val="16"/>
              </w:rPr>
              <w:t>Unproven. Require route, timber, repair, scatter, and context testing.</w:t>
            </w:r>
          </w:p>
        </w:tc>
        <w:tc>
          <w:tcPr>
            <w:tcW w:type="dxa" w:w="2592"/>
            <w:vAlign w:val="top"/>
          </w:tcPr>
          <w:p>
            <w:pPr>
              <w:spacing w:after="0" w:line="240" w:lineRule="auto"/>
            </w:pPr>
            <w:r>
              <w:rPr>
                <w:sz w:val="16"/>
              </w:rPr>
            </w:r>
            <w:r>
              <w:rPr>
                <w:rFonts w:ascii="Aptos" w:hAnsi="Aptos" w:eastAsia="Aptos"/>
                <w:b w:val="0"/>
                <w:sz w:val="16"/>
              </w:rPr>
              <w:t>Mechanism proposals only.</w:t>
            </w:r>
          </w:p>
        </w:tc>
      </w:tr>
      <w:tr>
        <w:tc>
          <w:tcPr>
            <w:tcW w:type="dxa" w:w="2592"/>
            <w:vAlign w:val="top"/>
          </w:tcPr>
          <w:p>
            <w:pPr>
              <w:spacing w:after="0" w:line="240" w:lineRule="auto"/>
            </w:pPr>
            <w:r>
              <w:rPr>
                <w:sz w:val="16"/>
              </w:rPr>
            </w:r>
            <w:r>
              <w:rPr>
                <w:rFonts w:ascii="Aptos" w:hAnsi="Aptos" w:eastAsia="Aptos"/>
                <w:b w:val="0"/>
                <w:sz w:val="16"/>
              </w:rPr>
              <w:t>Energy asymmetry layer</w:t>
            </w:r>
          </w:p>
        </w:tc>
        <w:tc>
          <w:tcPr>
            <w:tcW w:type="dxa" w:w="2592"/>
            <w:vAlign w:val="top"/>
          </w:tcPr>
          <w:p>
            <w:pPr>
              <w:spacing w:after="0" w:line="240" w:lineRule="auto"/>
            </w:pPr>
            <w:r>
              <w:rPr>
                <w:sz w:val="16"/>
              </w:rPr>
            </w:r>
            <w:r>
              <w:rPr>
                <w:rFonts w:ascii="Aptos" w:hAnsi="Aptos" w:eastAsia="Aptos"/>
                <w:b w:val="0"/>
                <w:sz w:val="16"/>
              </w:rPr>
              <w:t>Storage and protected processing redirect future calories from uncertain wider access into defended group use.</w:t>
            </w:r>
          </w:p>
        </w:tc>
        <w:tc>
          <w:tcPr>
            <w:tcW w:type="dxa" w:w="2592"/>
            <w:vAlign w:val="top"/>
          </w:tcPr>
          <w:p>
            <w:pPr>
              <w:spacing w:after="0" w:line="240" w:lineRule="auto"/>
            </w:pPr>
            <w:r>
              <w:rPr>
                <w:sz w:val="16"/>
              </w:rPr>
            </w:r>
            <w:r>
              <w:rPr>
                <w:rFonts w:ascii="Aptos" w:hAnsi="Aptos" w:eastAsia="Aptos"/>
                <w:b w:val="0"/>
                <w:sz w:val="16"/>
              </w:rPr>
              <w:t>Bounded scale check; not a fixed population estimate.</w:t>
            </w:r>
          </w:p>
        </w:tc>
        <w:tc>
          <w:tcPr>
            <w:tcW w:type="dxa" w:w="2592"/>
            <w:vAlign w:val="top"/>
          </w:tcPr>
          <w:p>
            <w:pPr>
              <w:spacing w:after="0" w:line="240" w:lineRule="auto"/>
            </w:pPr>
            <w:r>
              <w:rPr>
                <w:sz w:val="16"/>
              </w:rPr>
            </w:r>
            <w:r>
              <w:rPr>
                <w:rFonts w:ascii="Aptos" w:hAnsi="Aptos" w:eastAsia="Aptos"/>
                <w:b w:val="0"/>
                <w:sz w:val="16"/>
              </w:rPr>
              <w:t>Explains why modest storage can create strong encounter pressure without empire-scale wealth.</w:t>
            </w:r>
          </w:p>
        </w:tc>
      </w:tr>
      <w:tr>
        <w:tc>
          <w:tcPr>
            <w:tcW w:type="dxa" w:w="2592"/>
            <w:vAlign w:val="top"/>
          </w:tcPr>
          <w:p>
            <w:pPr>
              <w:spacing w:after="0" w:line="240" w:lineRule="auto"/>
            </w:pPr>
            <w:r>
              <w:rPr>
                <w:sz w:val="16"/>
              </w:rPr>
            </w:r>
            <w:r>
              <w:rPr>
                <w:rFonts w:ascii="Aptos" w:hAnsi="Aptos" w:eastAsia="Aptos"/>
                <w:b w:val="0"/>
                <w:sz w:val="16"/>
              </w:rPr>
              <w:t>Stranger-filter layer</w:t>
            </w:r>
          </w:p>
        </w:tc>
        <w:tc>
          <w:tcPr>
            <w:tcW w:type="dxa" w:w="2592"/>
            <w:vAlign w:val="top"/>
          </w:tcPr>
          <w:p>
            <w:pPr>
              <w:spacing w:after="0" w:line="240" w:lineRule="auto"/>
            </w:pPr>
            <w:r>
              <w:rPr>
                <w:sz w:val="16"/>
              </w:rPr>
            </w:r>
            <w:r>
              <w:rPr>
                <w:rFonts w:ascii="Aptos" w:hAnsi="Aptos" w:eastAsia="Aptos"/>
                <w:b w:val="0"/>
                <w:sz w:val="16"/>
              </w:rPr>
              <w:t>Known approachers, food-bearing guests, and repeat participants lower ambiguity; empty-handed unknown approachers raise it.</w:t>
            </w:r>
          </w:p>
        </w:tc>
        <w:tc>
          <w:tcPr>
            <w:tcW w:type="dxa" w:w="2592"/>
            <w:vAlign w:val="top"/>
          </w:tcPr>
          <w:p>
            <w:pPr>
              <w:spacing w:after="0" w:line="240" w:lineRule="auto"/>
            </w:pPr>
            <w:r>
              <w:rPr>
                <w:sz w:val="16"/>
              </w:rPr>
            </w:r>
            <w:r>
              <w:rPr>
                <w:rFonts w:ascii="Aptos" w:hAnsi="Aptos" w:eastAsia="Aptos"/>
                <w:b w:val="0"/>
                <w:sz w:val="16"/>
              </w:rPr>
              <w:t>Behavioural expectation, not proof of formal law.</w:t>
            </w:r>
          </w:p>
        </w:tc>
        <w:tc>
          <w:tcPr>
            <w:tcW w:type="dxa" w:w="2592"/>
            <w:vAlign w:val="top"/>
          </w:tcPr>
          <w:p>
            <w:pPr>
              <w:spacing w:after="0" w:line="240" w:lineRule="auto"/>
            </w:pPr>
            <w:r>
              <w:rPr>
                <w:sz w:val="16"/>
              </w:rPr>
            </w:r>
            <w:r>
              <w:rPr>
                <w:rFonts w:ascii="Aptos" w:hAnsi="Aptos" w:eastAsia="Aptos"/>
                <w:b w:val="0"/>
                <w:sz w:val="16"/>
              </w:rPr>
              <w:t>Explains threshold conduct and guest scripts without kings or doctrine.</w:t>
            </w:r>
          </w:p>
        </w:tc>
      </w:tr>
      <w:tr>
        <w:tc>
          <w:tcPr>
            <w:tcW w:type="dxa" w:w="2592"/>
            <w:vAlign w:val="top"/>
          </w:tcPr>
          <w:p>
            <w:pPr>
              <w:spacing w:after="0" w:line="240" w:lineRule="auto"/>
            </w:pPr>
            <w:r>
              <w:rPr>
                <w:sz w:val="16"/>
              </w:rPr>
            </w:r>
            <w:r>
              <w:rPr>
                <w:rFonts w:ascii="Aptos" w:hAnsi="Aptos" w:eastAsia="Aptos"/>
                <w:b w:val="0"/>
                <w:sz w:val="16"/>
              </w:rPr>
              <w:t>Waste and infill layer</w:t>
            </w:r>
          </w:p>
        </w:tc>
        <w:tc>
          <w:tcPr>
            <w:tcW w:type="dxa" w:w="2592"/>
            <w:vAlign w:val="top"/>
          </w:tcPr>
          <w:p>
            <w:pPr>
              <w:spacing w:after="0" w:line="240" w:lineRule="auto"/>
            </w:pPr>
            <w:r>
              <w:rPr>
                <w:sz w:val="16"/>
              </w:rPr>
            </w:r>
            <w:r>
              <w:rPr>
                <w:rFonts w:ascii="Aptos" w:hAnsi="Aptos" w:eastAsia="Aptos"/>
                <w:b w:val="0"/>
                <w:sz w:val="16"/>
              </w:rPr>
              <w:t>Large aggregation produces unusual midden scale, altered terrain, reuse problems, and possible liability in unused spaces.</w:t>
            </w:r>
          </w:p>
        </w:tc>
        <w:tc>
          <w:tcPr>
            <w:tcW w:type="dxa" w:w="2592"/>
            <w:vAlign w:val="top"/>
          </w:tcPr>
          <w:p>
            <w:pPr>
              <w:spacing w:after="0" w:line="240" w:lineRule="auto"/>
            </w:pPr>
            <w:r>
              <w:rPr>
                <w:sz w:val="16"/>
              </w:rPr>
            </w:r>
            <w:r>
              <w:rPr>
                <w:rFonts w:ascii="Aptos" w:hAnsi="Aptos" w:eastAsia="Aptos"/>
                <w:b w:val="0"/>
                <w:sz w:val="16"/>
              </w:rPr>
              <w:t>Formation-process and site-management expectation; motive remains open.</w:t>
            </w:r>
          </w:p>
        </w:tc>
        <w:tc>
          <w:tcPr>
            <w:tcW w:type="dxa" w:w="2592"/>
            <w:vAlign w:val="top"/>
          </w:tcPr>
          <w:p>
            <w:pPr>
              <w:spacing w:after="0" w:line="240" w:lineRule="auto"/>
            </w:pPr>
            <w:r>
              <w:rPr>
                <w:sz w:val="16"/>
              </w:rPr>
            </w:r>
            <w:r>
              <w:rPr>
                <w:rFonts w:ascii="Aptos" w:hAnsi="Aptos" w:eastAsia="Aptos"/>
                <w:b w:val="0"/>
                <w:sz w:val="16"/>
              </w:rPr>
              <w:t>Gives deliberate fill a mundane operational pathway alongside ritual closure.</w:t>
            </w:r>
          </w:p>
        </w:tc>
      </w:tr>
      <w:tr>
        <w:tc>
          <w:tcPr>
            <w:tcW w:type="dxa" w:w="2592"/>
            <w:vAlign w:val="top"/>
          </w:tcPr>
          <w:p>
            <w:pPr>
              <w:spacing w:after="0" w:line="240" w:lineRule="auto"/>
            </w:pPr>
            <w:r>
              <w:rPr>
                <w:sz w:val="16"/>
              </w:rPr>
            </w:r>
            <w:r>
              <w:rPr>
                <w:rFonts w:ascii="Aptos" w:hAnsi="Aptos" w:eastAsia="Aptos"/>
                <w:b w:val="0"/>
                <w:sz w:val="16"/>
              </w:rPr>
              <w:t>Propagation friction layer</w:t>
            </w:r>
          </w:p>
        </w:tc>
        <w:tc>
          <w:tcPr>
            <w:tcW w:type="dxa" w:w="2592"/>
            <w:vAlign w:val="top"/>
          </w:tcPr>
          <w:p>
            <w:pPr>
              <w:spacing w:after="0" w:line="240" w:lineRule="auto"/>
            </w:pPr>
            <w:r>
              <w:rPr>
                <w:sz w:val="16"/>
              </w:rPr>
            </w:r>
            <w:r>
              <w:rPr>
                <w:rFonts w:ascii="Aptos" w:hAnsi="Aptos" w:eastAsia="Aptos"/>
                <w:b w:val="0"/>
                <w:sz w:val="16"/>
              </w:rPr>
              <w:t>Copied visible forms spread through partial adoption, prestige borrowing, local reinterpretation, symbolic drift, hybridisation, and failed adoption.</w:t>
            </w:r>
          </w:p>
        </w:tc>
        <w:tc>
          <w:tcPr>
            <w:tcW w:type="dxa" w:w="2592"/>
            <w:vAlign w:val="top"/>
          </w:tcPr>
          <w:p>
            <w:pPr>
              <w:spacing w:after="0" w:line="240" w:lineRule="auto"/>
            </w:pPr>
            <w:r>
              <w:rPr>
                <w:sz w:val="16"/>
              </w:rPr>
            </w:r>
            <w:r>
              <w:rPr>
                <w:rFonts w:ascii="Aptos" w:hAnsi="Aptos" w:eastAsia="Aptos"/>
                <w:b w:val="0"/>
                <w:sz w:val="16"/>
              </w:rPr>
              <w:t>Comparative transmission caution.</w:t>
            </w:r>
          </w:p>
        </w:tc>
        <w:tc>
          <w:tcPr>
            <w:tcW w:type="dxa" w:w="2592"/>
            <w:vAlign w:val="top"/>
          </w:tcPr>
          <w:p>
            <w:pPr>
              <w:spacing w:after="0" w:line="240" w:lineRule="auto"/>
            </w:pPr>
            <w:r>
              <w:rPr>
                <w:sz w:val="16"/>
              </w:rPr>
            </w:r>
            <w:r>
              <w:rPr>
                <w:rFonts w:ascii="Aptos" w:hAnsi="Aptos" w:eastAsia="Aptos"/>
                <w:b w:val="0"/>
                <w:sz w:val="16"/>
              </w:rPr>
              <w:t>Prevents the copied-system argument from sounding too smooth.</w:t>
            </w:r>
          </w:p>
        </w:tc>
      </w:tr>
      <w:tr>
        <w:tc>
          <w:tcPr>
            <w:tcW w:type="dxa" w:w="2592"/>
          </w:tcPr>
          <w:p>
            <w:r>
              <w:rPr>
                <w:sz w:val="16"/>
              </w:rPr>
              <w:t>Return-account feedback layer</w:t>
            </w:r>
          </w:p>
        </w:tc>
        <w:tc>
          <w:tcPr>
            <w:tcW w:type="dxa" w:w="2592"/>
          </w:tcPr>
          <w:p>
            <w:r>
              <w:rPr>
                <w:sz w:val="16"/>
              </w:rPr>
              <w:t>Repeated aggregation gathers reports of late returns, missing people, lost tools, disturbed caches, frightening path encounters, and field losses.</w:t>
            </w:r>
          </w:p>
        </w:tc>
        <w:tc>
          <w:tcPr>
            <w:tcW w:type="dxa" w:w="2592"/>
          </w:tcPr>
          <w:p>
            <w:r>
              <w:rPr>
                <w:sz w:val="16"/>
              </w:rPr>
              <w:t>Expected social feedback in recurrent gathering systems; specific incidents require evidence.</w:t>
            </w:r>
          </w:p>
        </w:tc>
        <w:tc>
          <w:tcPr>
            <w:tcW w:type="dxa" w:w="2592"/>
          </w:tcPr>
          <w:p>
            <w:r>
              <w:rPr>
                <w:sz w:val="16"/>
              </w:rPr>
              <w:t>Explains why outer-field risk can shape node behaviour before core violence is visible.</w:t>
            </w:r>
          </w:p>
        </w:tc>
      </w:tr>
      <w:tr>
        <w:tc>
          <w:tcPr>
            <w:tcW w:type="dxa" w:w="2592"/>
          </w:tcPr>
          <w:p>
            <w:r>
              <w:rPr>
                <w:sz w:val="16"/>
              </w:rPr>
              <w:t>Access-regime layer</w:t>
            </w:r>
          </w:p>
        </w:tc>
        <w:tc>
          <w:tcPr>
            <w:tcW w:type="dxa" w:w="2592"/>
          </w:tcPr>
          <w:p>
            <w:r>
              <w:rPr>
                <w:sz w:val="16"/>
              </w:rPr>
              <w:t>Different encounter positions may interpret the same grain movement as labour-embedded value or as subtraction from an accessible landscape.</w:t>
            </w:r>
          </w:p>
        </w:tc>
        <w:tc>
          <w:tcPr>
            <w:tcW w:type="dxa" w:w="2592"/>
          </w:tcPr>
          <w:p>
            <w:r>
              <w:rPr>
                <w:sz w:val="16"/>
              </w:rPr>
              <w:t>Interpretive caution, not proof of property law.</w:t>
            </w:r>
          </w:p>
        </w:tc>
        <w:tc>
          <w:tcPr>
            <w:tcW w:type="dxa" w:w="2592"/>
          </w:tcPr>
          <w:p>
            <w:r>
              <w:rPr>
                <w:sz w:val="16"/>
              </w:rPr>
              <w:t>Avoids moralising Q as innocent and X as evil.</w:t>
            </w:r>
          </w:p>
        </w:tc>
      </w:tr>
    </w:tbl>
    <w:p/>
    <w:p>
      <w:r>
        <w:rPr>
          <w:rFonts w:ascii="Aptos" w:hAnsi="Aptos" w:eastAsia="Aptos"/>
        </w:rPr>
        <w:t>The paper uses rank discipline: one known role cannot swallow the others. Ritual does not erase use. Use does not erase ritual. Hunting evidence cannot become an animal-trap conclusion. Raider-risk cannot become a coercive labor extraction model. Absence of direct raid proof keeps the raider-risk layer low-rank, not dead.</w:t>
      </w:r>
    </w:p>
    <w:p>
      <w:pPr>
        <w:pStyle w:val="Heading2"/>
      </w:pPr>
      <w:r>
        <w:t>1.1 Early causal loop and theoretical placement</w:t>
      </w:r>
    </w:p>
    <w:p>
      <w:r>
        <w:rPr>
          <w:rFonts w:ascii="Aptos" w:hAnsi="Aptos" w:eastAsia="Aptos"/>
        </w:rPr>
        <w:t>The argument can be reduced to one loop used throughout the paper: exposed value conversion creates repeated uncertain encounter; repeated encounter rewards recognizable coordination nodes; recognizable nodes attract return aggregation; successful aggregation creates prestige and imitation; copied visible forms help build a durable coordination landscape. Later sections should be read as tests or consequences of this loop, not as separate explanations competing for control of the site.</w:t>
      </w:r>
    </w:p>
    <w:p>
      <w:r>
        <w:rPr>
          <w:rFonts w:ascii="Aptos" w:hAnsi="Aptos" w:eastAsia="Aptos"/>
        </w:rPr>
        <w:t>This framing places Gobekli Tepe within broader questions about aggregation, persistent places, costly signalling, risk pooling, landscape memory, and pre-state coordination. The comparison is not meant to prove that all such systems are alike. It gives the paper a standard archaeological vocabulary for asking why repeated places, visible labour, and durable signs become useful before formal institutions carry the load. [21-24]</w:t>
      </w:r>
    </w:p>
    <w:p>
      <w:pPr>
        <w:pStyle w:val="Heading2"/>
      </w:pPr>
      <w:r>
        <w:t>1.2 Why aggregation can beat concealment</w:t>
      </w:r>
    </w:p>
    <w:p>
      <w:pPr/>
      <w:r>
        <w:t>In low-density settings, concealment can be safer than display. Once visible value conversion, worker exposure, route familiarity, and repeated encounter cross a threshold, concealment begins to fail. Processing cannot stay invisible when grain subtraction, paths, smoke, dogs, grinding cadence, fuel cutting, visitors, and return timing make the same place known again.</w:t>
      </w:r>
    </w:p>
    <w:p>
      <w:pPr/>
      <w:r>
        <w:t>At that point, witnessed aggregation can become cheaper than endless hiding. The node reduces anonymity, stores predictability, and makes approach behaviour socially legible. The protected object is therefore not only grain or flour. It is repeated coordination around value conversion.</w:t>
      </w:r>
    </w:p>
    <w:p>
      <w:pPr>
        <w:pStyle w:val="Heading2"/>
      </w:pPr>
      <w:r>
        <w:t>1.3 Return-account feedback and competing access regimes</w:t>
      </w:r>
    </w:p>
    <w:p>
      <w:pPr/>
      <w:r>
        <w:t>A recurring aggregation node does not merely gather bodies and food. It gathers reports. Late arrivals, missing workers, injured returners, disturbed caches, lost tools, burned shelters, frightening path encounters, and rumours of unknown approachers can be pooled at the node. This creates return-account feedback: scattered outer-field incidents alter collective behaviour before direct violence needs to reach the monumental core.</w:t>
      </w:r>
    </w:p>
    <w:p>
      <w:pPr/>
      <w:r>
        <w:t>This feedback strengthens the feeder-landscape logic without turning every report into proof of attack. The claim is modest: repeated aggregation makes loss accounts shareable, comparable, and memorable. A site that gathers people seasonally also gathers information about routes, risk, absence, food movement, and encounter trouble.</w:t>
      </w:r>
    </w:p>
    <w:p>
      <w:pPr/>
      <w:r>
        <w:t>The same mechanism should be framed without moral sorting. Q-side participants may understand grain as labour-embedded value because it has been cut, carried, processed, watched, stored, and tied to obligations. X-position approachers may understand the same process as subtraction from a previously accessible food landscape. The conflict is therefore not simple theft against innocent ownership. It is a collision between access regimes before formal property and governance have stabilised.</w:t>
      </w:r>
    </w:p>
    <w:p>
      <w:pPr>
        <w:pStyle w:val="Heading1"/>
      </w:pPr>
      <w:r>
        <w:t>2. Site baseline and evidence floor</w:t>
      </w:r>
    </w:p>
    <w:p>
      <w:r>
        <w:rPr>
          <w:rFonts w:ascii="Aptos" w:hAnsi="Aptos" w:eastAsia="Aptos"/>
        </w:rP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r>
        <w:rPr>
          <w:rFonts w:ascii="Aptos" w:hAnsi="Aptos" w:eastAsia="Aptos"/>
        </w:rP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r>
        <w:rPr>
          <w:rFonts w:ascii="Aptos" w:hAnsi="Aptos" w:eastAsia="Aptos"/>
        </w:rPr>
        <w:t>This unusually large processing assemblage is the primary positive material footprint of the protected-processing model. In a more dispersed processing pattern, grain handling would be expected closer to harvest points and exposed work spots. At Gobekli Tepe, heavy processing equipment appears aggregated in a monumental, topographically managed setting. That pattern can be read as a practical shift from dispersed exposed processing toward collective, visible, protected processing.</w:t>
      </w:r>
    </w:p>
    <w:p>
      <w:r>
        <w:rPr>
          <w:rFonts w:ascii="Aptos" w:hAnsi="Aptos" w:eastAsia="Aptos"/>
        </w:rPr>
        <w:t>The evidence floor also includes wild animal remains, animal imagery, direct hunting evidence, scattered human fragments, modified skull material, complex fill histories, and regional T-pillar parallels. These facts support the ritual-social core, the food-processing layer, and the hunt/feast competence layer. They do not, by themselves, prove raider-risk deterrence.</w:t>
      </w:r>
    </w:p>
    <w:p>
      <w:pPr>
        <w:pStyle w:val="Heading1"/>
      </w:pPr>
      <w:r>
        <w:t>3. Soft dwelling worlds and hardened value nodes</w:t>
      </w:r>
    </w:p>
    <w:p>
      <w:r>
        <w:rPr>
          <w:rFonts w:ascii="Aptos" w:hAnsi="Aptos" w:eastAsia="Aptos"/>
        </w:rPr>
        <w:t>Gobekli Tepe need not imply a stone-built domestic world. Ordinary occupation may have relied heavily on perishable shelters, mud, wattle, timber, reeds, hides, matting, baskets, screens, and vegetal roofing. Such materials are archaeologically fragile and strategically vulnerable, especially to fire.</w:t>
      </w:r>
    </w:p>
    <w:p>
      <w:r>
        <w:rPr>
          <w:rFonts w:ascii="Aptos" w:hAnsi="Aptos" w:eastAsia="Aptos"/>
        </w:rPr>
        <w:t>The asymmetry is therefore important. Everyday life could remain soft, repairable, seasonal, and partly dispersed, while the dangerous, value-dense moments of processing, gathering, and display became selectively hardened in stone. The durable archaeological footprint is not necessarily where everyone lived all the time. It may instead be the hardened answer to soft dwelling and exposed processing.</w:t>
      </w:r>
    </w:p>
    <w:p>
      <w:r>
        <w:t>This helps explain why small isolated Q dwelling sites may be sparse, short-lived, or hard to identify. A dispersed shelter cluster with vegetal roofs, doors, matting, storage baskets, fuel, racks, fences, and screens is vulnerable to fire visits and nighttime pressure. Stone does not need to replace ordinary life everywhere. It only needs to harden the moments and places where worker exposure, food value, and group memory converge.</w:t>
      </w:r>
    </w:p>
    <w:p>
      <w:r>
        <w:rPr>
          <w:rFonts w:ascii="Aptos" w:hAnsi="Aptos" w:eastAsia="Aptos"/>
        </w:rPr>
        <w:t>Burning an empty perishable shelter imposes replacement cost on residents, but it gives an attacker little metabolic reward. The high-value moment is not the existence of a hut. It is the moment when harvested grain, tools, workers, smoke, flour, cooked food, visitors, and timing are present together. A protected stone node matters because it hardens the moment worth attacking, not because every dwelling must become permanent stone architecture.</w:t>
      </w:r>
    </w:p>
    <w:p>
      <w:pPr>
        <w:pStyle w:val="Heading1"/>
      </w:pPr>
      <w:r>
        <w:t>4. Early Holocene pressure: abundance without management</w:t>
      </w:r>
    </w:p>
    <w:p>
      <w:r>
        <w:rPr>
          <w:rFonts w:ascii="Aptos" w:hAnsi="Aptos" w:eastAsia="Aptos"/>
        </w:rPr>
        <w:t>Gobekli Tepe appears almost immediately after the end of the last glacial period in archaeological terms. The formal Holocene boundary is about 11.7 ka before present, while the earliest secure monumental phases at Gobekli Tepe fall in the later tenth millennium BCE. [1], [15] The landscape was not identical to the modern setting. The relevant model is a somewhat wetter early Holocene steppe: wild cereals, grazing animals, seasonal water, and local tree resources, not a dense forest and not a stable breadbasket. [16]</w:t>
      </w:r>
    </w:p>
    <w:p>
      <w:r>
        <w:rPr>
          <w:rFonts w:ascii="Aptos" w:hAnsi="Aptos" w:eastAsia="Aptos"/>
        </w:rPr>
        <w:t>Rising carrying capacity does not remove scarcity pressure. It can postpone and amplify it. Wetter conditions, wild cereal stands, and richer game populations could support more people, but population growth would not automatically produce regional coordination, storage equity, conflict management, or winter provisioning. Abundance allows population to rise toward a new ceiling; it does not guarantee safe access for everyone at the hungry moment.</w:t>
      </w:r>
    </w:p>
    <w:p>
      <w:r>
        <w:rPr>
          <w:rFonts w:ascii="Aptos" w:hAnsi="Aptos" w:eastAsia="Aptos"/>
        </w:rPr>
        <w:t>The model should never depend on crisis. Seasonal failure, hard winters, disease, missed hunts, drought pockets, and broken exchange ties would intensify pressure, but they are not required. If bread-making and grain storage succeeded, groups using them could increase in number and return with greater demand on the same wild cereal stands. Their success would gradually reduce the grain available to groups still relying on older mobile fallback systems.</w:t>
      </w:r>
    </w:p>
    <w:p>
      <w:r>
        <w:rPr>
          <w:rFonts w:ascii="Aptos" w:hAnsi="Aptos" w:eastAsia="Aptos"/>
        </w:rPr>
        <w:t>Neighbouring groups would not remain passive. Once bread-making and storage became visible, non-storing mobile groups could copy, join, intermarry, exchange, steal tools, or learn the practice directly. The technical advantage of grinding grain into food may therefore have begun to erode quickly. Gobekli Tepe does not need to explain the invention of bread-making. It needs to explain the organisation of bread-making under competitive conditions.</w:t>
      </w:r>
    </w:p>
    <w:p>
      <w:r>
        <w:rPr>
          <w:rFonts w:ascii="Aptos" w:hAnsi="Aptos" w:eastAsia="Aptos"/>
        </w:rPr>
        <w:t>Local population increase may also have combined with people, practices, and partners moving from regions to the south with longer cereal-processing traditions. Earlier grinders or bread-like products elsewhere do not, by themselves, establish a migration route or direction of influence. They demonstrate technical possibility. The relevant question is where processing happened, at what scale, under which social rules, and with what risk. [13], [14], [17]</w:t>
      </w:r>
    </w:p>
    <w:p>
      <w:r>
        <w:rPr>
          <w:rFonts w:ascii="Aptos" w:hAnsi="Aptos" w:eastAsia="Aptos"/>
        </w:rPr>
        <w:t>This is not a claim that incoming or southern-linked groups were inherently weak. The relevant difference is ecological familiarity. Local groups may have had more practice with the winter fallback routes of this particular landscape, while people connected to more cereal-practised zones may have made new forms of value visible through grinding, smoke, cooked food, tools, and processed grain. In severe scarcity, internal conspecific consumption would carry catastrophic social cost; external seizure of people associated with processed grain would remain dangerous and revenge-prone, but could appear less destructive to the attacker's own social body.</w:t>
      </w:r>
    </w:p>
    <w:p>
      <w:pPr>
        <w:pStyle w:val="Heading2"/>
      </w:pPr>
      <w:r>
        <w:t>4.1 Widening mobility overlap without invasion imagery</w:t>
      </w:r>
    </w:p>
    <w:p>
      <w:r>
        <w:rPr>
          <w:rFonts w:ascii="Aptos" w:hAnsi="Aptos" w:eastAsia="Aptos"/>
        </w:rPr>
        <w:t>The T-pillar region need not be framed as a main migration artery. It is better treated as a mobility transition zone where uplands, upper Mesopotamian plains, steppe margins, cereal-rich patches, seasonal water, and animal movement overlapped. The relevant pressure is thickening circulation: more seasonal return, more neighbour overlap, more route reuse, and less empty buffer space.</w:t>
      </w:r>
    </w:p>
    <w:p>
      <w:r>
        <w:rPr>
          <w:rFonts w:ascii="Aptos" w:hAnsi="Aptos" w:eastAsia="Aptos"/>
        </w:rPr>
        <w:t>Lean-season movement would often follow survivable ecologies rather than conquest logic. Warmer or more productive zones attract people because winter arithmetic is unforgiving. Anchored processors and high-mobility survivors may then meet with different risk geometries: one side tied to processing places, dogs, equipment, and repeated gatherings; the other more used to movement, uncertainty, and opportunistic access.</w:t>
      </w:r>
    </w:p>
    <w:p>
      <w:r>
        <w:rPr>
          <w:rFonts w:ascii="Aptos" w:hAnsi="Aptos" w:eastAsia="Aptos"/>
        </w:rPr>
        <w:t>This distinction avoids moral ranking. The model is not settled people against bad outsiders. It is different adaptive systems colliding under widening encounter density, with each side watching, learning, copying, joining, testing, and remembering.</w:t>
      </w:r>
    </w:p>
    <w:p>
      <w:pPr>
        <w:pStyle w:val="Heading2"/>
      </w:pPr>
      <w:r>
        <w:t>4.2 Energy asymmetry and hungry-person-days</w:t>
      </w:r>
    </w:p>
    <w:p>
      <w:r>
        <w:t>Version 0.978 treats storage as energy asymmetry rather than simple abundance. The useful question is not whether Gobekli Tepe held state-scale stores. It is how much winter margin even modest delayed calories could shift in a low-buffer ecology.</w:t>
      </w:r>
    </w:p>
    <w:p>
      <w:r>
        <w:rPr>
          <w:rFonts w:ascii="Aptos" w:hAnsi="Aptos" w:eastAsia="Aptos"/>
        </w:rPr>
        <w:t>One cubic metre of dry cereal, using a rough density of c. 700-800 kg/m3 and c. 3400 kcal/kg, represents c. 2.4-2.7 million kcal. At 2500-3500 kcal per person per day, that is on the order of 700-1000 hard-working human days. This is not empire wealth. It is winter-extension arithmetic.</w:t>
      </w:r>
    </w:p>
    <w:p>
      <w:r>
        <w:rPr>
          <w:rFonts w:ascii="Aptos" w:hAnsi="Aptos" w:eastAsia="Aptos"/>
        </w:rPr>
        <w:t>Stored grain is not merely extra food. It is future calories withdrawn from uncertain wider access. If an anchored group stores 30 to 90 additional days for a small community, the social effect may be larger than the absolute volume suggests, because seasonal survival thresholds are nonlinear.</w:t>
      </w:r>
    </w:p>
    <w:p>
      <w:r>
        <w:t>These figures are scale checks, not population estimates. The model should not claim a known Q/X ratio. It can claim that repeated annual storage and protected processing could shift survival margins enough to change neighbouring risk calculations, observation, route use, and willingness to test exposed workers.</w:t>
      </w:r>
    </w:p>
    <w:p>
      <w:pPr>
        <w:pStyle w:val="Heading1"/>
      </w:pPr>
      <w:r>
        <w:t>5. The stationary problem: capability was not enough</w:t>
      </w:r>
    </w:p>
    <w:p>
      <w:r>
        <w:rPr>
          <w:rFonts w:ascii="Aptos" w:hAnsi="Aptos" w:eastAsia="Aptos"/>
        </w:rP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r>
        <w:rPr>
          <w:rFonts w:ascii="Aptos" w:hAnsi="Aptos" w:eastAsia="Aptos"/>
        </w:rP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r>
        <w:rPr>
          <w:rFonts w:ascii="Aptos" w:hAnsi="Aptos" w:eastAsia="Aptos"/>
        </w:rPr>
        <w:t>Stationary life also changes the arithmetic of shelter and work. A hundred detached single-room houses require roughly 400 wall-lengths. A 10 by 10 block of attached rooms needs about 220 wall-lengths because walls are shared. This is not a claim about a specific Gobekli Tepe housing plan. It is a scale reminder: clustering near processing, water, watch, storage, dogs, tools, and ritual authority can be driven by mundane wall economy and walking economy as much as by ideology.</w:t>
      </w:r>
    </w:p>
    <w:p>
      <w:r>
        <w:rPr>
          <w:rFonts w:ascii="Aptos" w:hAnsi="Aptos" w:eastAsia="Aptos"/>
        </w:rP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pPr>
      <w:r>
        <w:t>6. Protected processing and the labour-theft payoff</w:t>
      </w:r>
    </w:p>
    <w:p>
      <w:r>
        <w:rPr>
          <w:rFonts w:ascii="Aptos" w:hAnsi="Aptos" w:eastAsia="Aptos"/>
        </w:rPr>
        <w:t>The first-perceived-wealth problem is sharpened by processing. Grain in a stand has value. Harvested grain has more value because labour has been added. Flour has still more value because harvesting, transport, dehusking, pounding, grinding, tool wear, and fatigue have been folded into it. Theft of flour steals calories and labour together.</w:t>
      </w:r>
    </w:p>
    <w:p>
      <w:r>
        <w:rPr>
          <w:rFonts w:ascii="Aptos" w:hAnsi="Aptos" w:eastAsia="Aptos"/>
        </w:rPr>
        <w:t>The highest-risk object was not only food. It was the working person inside the food-making sequence. A tired grinder or baker may carry skill, tools, grain access, route knowledge, social information, and possible knowledge of stores. A group approaching such a person does not need to be a specialist raiding class. Opportunistic attackers could control the worker first, then take flour, tools, stores, or directions.</w:t>
      </w:r>
    </w:p>
    <w:p>
      <w:r>
        <w:rPr>
          <w:rFonts w:ascii="Aptos" w:hAnsi="Aptos" w:eastAsia="Aptos"/>
        </w:rPr>
        <w:t>This makes dispersed processing more dangerous than simple calorie theft suggests. Sneak theft can become confrontation under bad conditions. A thief who only takes bread is the mild case. A group that takes the baker at distance, then takes stores, is the fitter threat model. Protected communal processing therefore guarded food value, labour value, and the bodies that held both.</w:t>
      </w:r>
    </w:p>
    <w:p>
      <w:r>
        <w:rPr>
          <w:rFonts w:ascii="Aptos" w:hAnsi="Aptos" w:eastAsia="Aptos"/>
        </w:rPr>
        <w:t>The unusually large and standardised grinding assemblage at Gobekli Tepe may therefore matter not only as feast evidence, but as evidence of protected conversion. It is a positive material trace of processing being pulled into a place where labour, tools, food, witnesses, ritual attention, and route control could converge.</w:t>
      </w:r>
    </w:p>
    <w:p>
      <w:r>
        <w:rPr>
          <w:rFonts w:ascii="Aptos" w:hAnsi="Aptos" w:eastAsia="Aptos"/>
        </w:rPr>
        <w:t>The raider-risk layer need not begin with organised enemies. It may begin with observation. A mobile group can learn that grain gatherers become more vulnerable after harvest, when grain is carried, processed, and converted into flour or bread-like food. If those opportunists then observe that processing no longer happens at scattered vulnerable locations but increasingly at Gobekli Tepe, the site becomes worth testing. In this model, the first attackers are not a formal raider class. They are people whose profitable theft pattern has been disrupted by protected processing.</w:t>
      </w:r>
    </w:p>
    <w:p>
      <w:r>
        <w:rPr>
          <w:rFonts w:ascii="Aptos" w:hAnsi="Aptos" w:eastAsia="Aptos"/>
        </w:rPr>
        <w:t>A protected processing node also creates contribution logic without requiring a later state tax. People may bring grain, grind near allies and watchers, take processed food away, and return a share as feast support, labour obligation, ritual contribution, or social debt. The site value lies not only in what it stored, but in what it made safer to process.</w:t>
      </w:r>
    </w:p>
    <w:p>
      <w:pPr>
        <w:pStyle w:val="Heading2"/>
      </w:pPr>
      <w:r>
        <w:t>6.1 Ritual aggregation as encounter management</w:t>
      </w:r>
    </w:p>
    <w:p>
      <w:r>
        <w:rPr>
          <w:rFonts w:ascii="Aptos" w:hAnsi="Aptos" w:eastAsia="Aptos"/>
        </w:rPr>
        <w:t>Ritual aggregation should not be treated as a neutral baseline opposed to risk management. A recurring feast already requires approach tolerance, return expectation, food trust, labour pooling, guest sorting, route memory, witness continuity, and some means of damping conflict. In this sense, ritual gathering may be one of the earliest forms that encounter management could take. It made visible food work more survivable by turning strangers into guests, contributions into obligations, and repeated arrival into remembered social order.</w:t>
      </w:r>
    </w:p>
    <w:p>
      <w:pPr/>
      <w:r>
        <w:t>Return-account feedback also makes ritual aggregation a risk-information forum. Feasts, work gatherings, and repeated visits are opportunities to compare route news, absence, injuries, animal trouble, theft, uncertain approach, and broken guest conduct. This does not make ritual secondary to security. It means recurring ritual is one of the places where dispersed risk can become shared memory.</w:t>
      </w:r>
    </w:p>
    <w:p>
      <w:pPr>
        <w:pStyle w:val="Heading2"/>
      </w:pPr>
      <w:r>
        <w:t>6.2 Stranger filters and threshold conduct</w:t>
      </w:r>
    </w:p>
    <w:p>
      <w:r>
        <w:rPr>
          <w:rFonts w:ascii="Aptos" w:hAnsi="Aptos" w:eastAsia="Aptos"/>
        </w:rPr>
        <w:t>Encounter management does not require formal gate law. It can begin with ordinary ambiguity sorting. A known person, a returning guest, a food-bearing approacher, or a group arriving at the expected time is easier to absorb into the gathering than an unknown empty-handed group approaching from a poor angle in a hungry season.</w:t>
      </w:r>
    </w:p>
    <w:p>
      <w:r>
        <w:rPr>
          <w:rFonts w:ascii="Aptos" w:hAnsi="Aptos" w:eastAsia="Aptos"/>
        </w:rPr>
        <w:t>This simple filter can seed threshold conduct without kings, guards, or doctrine. Some approachers are converted into guests, contributors, witnesses, or workers. Others are delayed, watched, redirected, escorted, or denied. The result is not a state border. It is repeated local practice around who may approach value-dense food work, how they must arrive, and who must see them arrive.</w:t>
      </w:r>
    </w:p>
    <w:p>
      <w:pPr>
        <w:pStyle w:val="Heading2"/>
      </w:pPr>
      <w:r>
        <w:t>6.3 From protected processing to protected aggregation</w:t>
      </w:r>
    </w:p>
    <w:p>
      <w:pPr/>
      <w:r>
        <w:t>The ground-stone assemblage remains the positive material anchor, but the broader protected unit is repeated aggregation around visible value conversion. Processing generates the pressure because it concentrates labour, timing, routes, tools, smoke, food, and fatigue. Aggregation becomes the wider solution because it adds witnesses, guest scripts, remembered conduct, and low-anonymity approach.</w:t>
      </w:r>
    </w:p>
    <w:p>
      <w:pPr/>
      <w:r>
        <w:t>This distinction prevents cereal processing from becoming a total explanation. Food work is the pressure generator; protected aggregation is the stabilising field that lets the processing sequence recur.</w:t>
      </w:r>
    </w:p>
    <w:p>
      <w:pPr>
        <w:pStyle w:val="Heading1"/>
      </w:pPr>
      <w:r>
        <w:t>7. External pressure and the feeder landscape</w:t>
      </w:r>
    </w:p>
    <w:p>
      <w:r>
        <w:rPr>
          <w:rFonts w:ascii="Aptos" w:hAnsi="Aptos" w:eastAsia="Aptos"/>
        </w:rPr>
        <w:t>The model should not expect the strongest attack evidence at Gobekli Tepe itself. If the site was a successful response to the first-perceived-wealth problem, then the triggering pressure may be better sought in the surrounding landscape: smaller processing stations, seasonal camps, minor stores, caches, grain-working zones, and feeder settlements. Gobekli Tepe is not the cause of Gobekli Tepe. It is the architectural and ritual answer to a risk first generated elsewhere.</w:t>
      </w:r>
    </w:p>
    <w:p>
      <w:r>
        <w:rPr>
          <w:rFonts w:ascii="Aptos" w:hAnsi="Aptos" w:eastAsia="Aptos"/>
        </w:rPr>
        <w:t>This claim needs strict testing. A feeder landscape cannot become a hiding place for the hypothesis. Evidence outside the monumental core would strengthen the model only if several unrelated stress indicators converge in space and time: damaged or repaired bins, abrupt abandonment of food-working areas, moved or missing grinding equipment, impact-diagnostic stone fragments near access routes, localised burning, route-facing patching, and movement from dispersed processing toward protected communal processing.</w:t>
      </w:r>
    </w:p>
    <w:p>
      <w:r>
        <w:rPr>
          <w:rFonts w:ascii="Aptos" w:hAnsi="Aptos" w:eastAsia="Aptos"/>
        </w:rPr>
        <w:t>Single indicators are not enough. Ordinary seasonal movement, tool recycling, refuse movement, erosion, shifting foraging ranges, later disturbance, and formation processes remain better explanations unless the pattern is clustered and route-relevant. The model is weakened if feeder sites show vulnerable processing without stress, storage pressure, route change, or movement toward protected nodes.</w:t>
      </w:r>
    </w:p>
    <w:p>
      <w:r>
        <w:rPr>
          <w:rFonts w:ascii="Aptos" w:hAnsi="Aptos" w:eastAsia="Aptos"/>
        </w:rPr>
        <w:t>The worker-risk layer makes the feeder landscape more important. Stores can be hidden or emptied. A tired worker on a return route, at a grinding hollow, or near a minor cache is harder to protect alone. This predicts evidence of relocation, paired processing, watched paths, tool movement, or increasing attraction toward communal food-work nodes rather than a simple fortress signature.</w:t>
      </w:r>
    </w:p>
    <w:p>
      <w:r>
        <w:rPr>
          <w:rFonts w:ascii="Aptos" w:hAnsi="Aptos" w:eastAsia="Aptos"/>
        </w:rPr>
        <w:t>A further feeder-landscape mechanism is subtraction. Harvested cereal stands leave absence, cut stems, trampled ground, paths, return timing, smoke, scent, and movement toward repeated processing places. The question "where did the grain go?" can create directional attention without organised scouting. Repeated subtraction makes value conversion legible before anyone needs to arrive as an enemy.</w:t>
      </w:r>
    </w:p>
    <w:p>
      <w:pPr/>
      <w:r>
        <w:t>A second feeder-landscape mechanism is return-account feedback. A protected node does not need to wait for every uncertain approacher to arrive at the threshold. Field complaints, late returns, missing people, lost tools, burned shelters, disturbed caches, and frightening path encounters can return to the group as shared risk information. The node then becomes an information sink as well as a processing sink: scattered losses in the outer landscape can shape collective threshold conduct before such losses become visible at the monumental core.</w:t>
      </w:r>
    </w:p>
    <w:p>
      <w:pPr>
        <w:pStyle w:val="Heading2"/>
      </w:pPr>
      <w:r>
        <w:t>7.1 Reviewer-facing signature expectations</w:t>
      </w:r>
    </w:p>
    <w:p>
      <w:r>
        <w:rPr>
          <w:rFonts w:ascii="Aptos" w:hAnsi="Aptos" w:eastAsia="Aptos"/>
        </w:rPr>
        <w:t>A frequent criticism will be that direct evidence for coercive encounter pressure is weak. The model should answer this by lowering dependence on battle traces and raising dependence on pattern prediction. The claim is not that frequent violence must be visible in the monumental core. The claim is that visible value conversion creates risk gradients, and that risk-management can appear before repeated injury layers, projectile accumulations, or burned destruction horizons become archaeologically common.</w:t>
      </w:r>
    </w:p>
    <w:p>
      <w:r>
        <w:rPr>
          <w:rFonts w:ascii="Aptos" w:hAnsi="Aptos" w:eastAsia="Aptos"/>
        </w:rPr>
        <w:t>The strongest reviewer-facing expectations are therefore spatial and material rather than heroic. If protected processing helped drive aggregation, the following patterns should become more likely as research expands:</w:t>
      </w:r>
    </w:p>
    <w:p>
      <w:pPr>
        <w:ind w:left="288" w:hanging="288"/>
      </w:pPr>
      <w:r>
        <w:rPr>
          <w:rFonts w:ascii="Aptos" w:hAnsi="Aptos" w:eastAsia="Aptos"/>
        </w:rPr>
        <w:t>1. Ground-stone assemblages should show high-intensity use, repair, fracture, standardisation, or spatial concentration consistent with accelerated labour in managed settings.</w:t>
      </w:r>
    </w:p>
    <w:p>
      <w:pPr>
        <w:ind w:left="288" w:hanging="288"/>
      </w:pPr>
      <w:r>
        <w:rPr>
          <w:rFonts w:ascii="Aptos" w:hAnsi="Aptos" w:eastAsia="Aptos"/>
        </w:rPr>
        <w:t>2. Feeder landscapes should show some convergent stress around exposed processing: moved or missing grinding kit, abandoned food-working locations, damaged or repaired bins, route-facing patching, localised burning, or movement toward communal nodes.</w:t>
      </w:r>
    </w:p>
    <w:p>
      <w:pPr>
        <w:ind w:left="288" w:hanging="288"/>
      </w:pPr>
      <w:r>
        <w:rPr>
          <w:rFonts w:ascii="Aptos" w:hAnsi="Aptos" w:eastAsia="Aptos"/>
        </w:rPr>
        <w:t>3. Threshold and approach zones should show affordances for warning and clustering: terraces, route compression, screens, visibility corridors, dog-associated occupation, watch points, stone-edge wear, repair, or route-specific debris.</w:t>
      </w:r>
    </w:p>
    <w:p>
      <w:pPr>
        <w:ind w:left="288" w:hanging="288"/>
      </w:pPr>
      <w:r>
        <w:rPr>
          <w:rFonts w:ascii="Aptos" w:hAnsi="Aptos" w:eastAsia="Aptos"/>
        </w:rPr>
        <w:t>4. The monumental core should combine ritual-social aggregation with processing evidence and comparatively fewer direct violence traces than outer routes or thresholds, because the core is the strongest counter-signal.</w:t>
      </w:r>
    </w:p>
    <w:p>
      <w:pPr>
        <w:ind w:left="288" w:hanging="288"/>
      </w:pPr>
      <w:r>
        <w:rPr>
          <w:rFonts w:ascii="Aptos" w:hAnsi="Aptos" w:eastAsia="Aptos"/>
        </w:rPr>
        <w:t>5. Regional T-pillar sites should show stronger relation to walking catchments, resource basins, route control, visibility, or approach queues than to random distribution.</w:t>
      </w:r>
    </w:p>
    <w:p>
      <w:r>
        <w:rPr>
          <w:rFonts w:ascii="Aptos" w:hAnsi="Aptos" w:eastAsia="Aptos"/>
        </w:rPr>
        <w:t>The model does not predict constant warfare, large projectile dumps, or large permanent stores inside the ritual core. It predicts anticipatory organisation around exposed value conversion: fewer isolated workers, more witnesses, harder approaches, safer processing, and a visible form that competitors learn to treat as costly.</w:t>
      </w:r>
    </w:p>
    <w:p>
      <w:pPr>
        <w:pStyle w:val="Heading2"/>
      </w:pPr>
      <w:r>
        <w:t>7.2 Landscape recognizability, not visibility alone</w:t>
      </w:r>
    </w:p>
    <w:p>
      <w:r>
        <w:rPr>
          <w:rFonts w:ascii="Aptos" w:hAnsi="Aptos" w:eastAsia="Aptos"/>
        </w:rPr>
        <w:t>Processing broadcasts itself through more than sight. Grinding cadence, smoke, cooking scent, dogs, crowds, fuel cutting, trampling, path formation, water use, and seasonal timing can make a place recognizable across repeated visits. The issue is not only that value can be seen. It is that a place can be known again.</w:t>
      </w:r>
    </w:p>
    <w:p>
      <w:r>
        <w:rPr>
          <w:rFonts w:ascii="Aptos" w:hAnsi="Aptos" w:eastAsia="Aptos"/>
        </w:rPr>
        <w:t>Recognizable places accumulate memory, expectation, guest scripts, reputational inertia, and known consequences. In that setting, ritual and security need not compete as explanations. Feasts produce witnesses; witnesses produce memory; memory lowers uncertainty; lowered uncertainty stabilises processing.</w:t>
      </w:r>
    </w:p>
    <w:p>
      <w:r>
        <w:rPr>
          <w:rFonts w:ascii="Aptos" w:hAnsi="Aptos" w:eastAsia="Aptos"/>
        </w:rPr>
        <w:t>Watcher language should remain modest. The model does not require formal watcher castes. Sedentary or repeatedly returning groups generate passive observation density: children, elders, workers, dogs, guests, and path users notice anomalies because people remain near the same routes and work zones for longer.</w:t>
      </w:r>
    </w:p>
    <w:p>
      <w:pPr>
        <w:pStyle w:val="Heading2"/>
      </w:pPr>
      <w:r>
        <w:t>7.3 Waste, middens, and infill as aggregation mechanics</w:t>
      </w:r>
    </w:p>
    <w:p>
      <w:r>
        <w:rPr>
          <w:rFonts w:ascii="Aptos" w:hAnsi="Aptos" w:eastAsia="Aptos"/>
        </w:rPr>
        <w:t>Large aggregation creates waste at a scale ordinary dispersed camps do not. Feasting, animal processing, tool repair, grinding, floor maintenance, rubble movement, fuel use, and visitor traffic produce middens, smell, insects, scavenger attraction, walking inconvenience, and altered ground. Such material can be ritually charged while still behaving as ordinary site-management pressure.</w:t>
      </w:r>
    </w:p>
    <w:p>
      <w:r>
        <w:rPr>
          <w:rFonts w:ascii="Aptos" w:hAnsi="Aptos" w:eastAsia="Aptos"/>
        </w:rPr>
        <w:t>In this frame, infill need not be reduced to a single motive. Filling an old or unused enclosure can retire a former gathering condition, manage smell and debris, reshape traffic, block dangerous hollows, stabilize surfaces, and fix memory in place. The same act can solve practical, social, and ritual problems at once. Formation-process literature and zooarchaeological taphonomy should therefore be part of the burial and fill discussion, not an afterthought. [25-26]</w:t>
      </w:r>
    </w:p>
    <w:p>
      <w:pPr>
        <w:pStyle w:val="Heading2"/>
      </w:pPr>
      <w:r>
        <w:t>7.4 Sensory recurrence and dog-assisted thresholding</w:t>
      </w:r>
    </w:p>
    <w:p>
      <w:pPr/>
      <w:r>
        <w:t>Recognizability in this model is multisensory. A node can be heard before it is seen and smelled before it is entered. Grinding cadence, dog alarm, smoke, cooking scent, night fire, crowd noise, bone breaking, fuel cutting, and repeated foot traffic make a return place more than a visual landmark.</w:t>
      </w:r>
    </w:p>
    <w:p>
      <w:pPr/>
      <w:r>
        <w:t>Dogs should be treated as threshold technology in a modest sense: not formal guards, but low-cost extensions of hearing, sleep-cycle coverage, route familiarity, waste ecology, and stranger detection. They convert some approaches into noise and attention before a human institution exists to do the same work.</w:t>
      </w:r>
    </w:p>
    <w:p>
      <w:pPr>
        <w:pStyle w:val="Heading1"/>
      </w:pPr>
      <w:r>
        <w:t>8. Event-rate realism and the adjustment threshold</w:t>
      </w:r>
    </w:p>
    <w:p>
      <w:r>
        <w:rPr>
          <w:rFonts w:ascii="Aptos" w:hAnsi="Aptos" w:eastAsia="Aptos"/>
        </w:rPr>
        <w:t>The model does not require repeated successful raids. It requires stress events, occasional attempts, and remembered failure. Across a long use-life and a regional gathering catchment, disrupted theft patterns, worker pursuit, coercion, bad seasons, failed hunts, disease, injuries, and broken exchange relations could generate raider pressure many times without producing many battle layers at the core site.</w:t>
      </w:r>
    </w:p>
    <w:p>
      <w:r>
        <w:rPr>
          <w:rFonts w:ascii="Aptos" w:hAnsi="Aptos" w:eastAsia="Aptos"/>
        </w:rPr>
        <w:t>Protected processing need not originate in a single crisis. It may instead reflect accumulated adjustment after successful cereal processing created repeated exposure. Groups using bread-making and storage gained real advantages, but those advantages made workers, tools, routes, and processed food more visible. Even limited theft, coercion, pursuit, or worker loss could make dispersed processing too costly.</w:t>
      </w:r>
    </w:p>
    <w:p>
      <w:r>
        <w:rPr>
          <w:rFonts w:ascii="Aptos" w:hAnsi="Aptos" w:eastAsia="Aptos"/>
        </w:rPr>
        <w:t>The response was not simply more food storage. It was a reorganisation of the processing moment itself: fewer isolated workers, more witnesses, tighter routes, stronger group presence, and a public memory that attacks on food work would not remain private incidents.</w:t>
      </w:r>
    </w:p>
    <w:p>
      <w:r>
        <w:rPr>
          <w:rFonts w:ascii="Aptos" w:hAnsi="Aptos" w:eastAsia="Aptos"/>
        </w:rPr>
        <w:t>One early incident could teach the resident group where the system nearly failed. A later failed attempt could create warning memory. After that, most of the work may be done by reputation, guest-role conversion, avoidance, bargaining, joining, or aborted approaches. The stone does not need to fall often if the story keeps falling.</w:t>
      </w:r>
    </w:p>
    <w:p>
      <w:pPr>
        <w:pStyle w:val="Heading2"/>
      </w:pPr>
      <w:r>
        <w:t>8.1 Rare incidents, gossip connectivity, and behavioural change</w:t>
      </w:r>
    </w:p>
    <w:p>
      <w:r>
        <w:rPr>
          <w:rFonts w:ascii="Aptos" w:hAnsi="Aptos" w:eastAsia="Aptos"/>
        </w:rPr>
        <w:t>The model does not require frequent successful attacks. It requires repeated encounter opportunities, thin seasonal margins, and enough connected memory for rare costly incidents to alter route, processing, and aggregation behaviour.</w:t>
      </w:r>
    </w:p>
    <w:p>
      <w:r>
        <w:rPr>
          <w:rFonts w:ascii="Aptos" w:hAnsi="Aptos" w:eastAsia="Aptos"/>
        </w:rPr>
        <w:t>In a connected oral field, a small number of memorable incidents can have large reach. A worker who vanishes, a pair carrying flour who fail to arrive, dogs alarming on the same approach, or an injured grinder returning across two seasons can seed pattern attention. Once people begin asking whether a route or work moment is unsafe, coalition action can form before any formal institution exists.</w:t>
      </w:r>
    </w:p>
    <w:p>
      <w:r>
        <w:rPr>
          <w:rFonts w:ascii="Aptos" w:hAnsi="Aptos" w:eastAsia="Aptos"/>
        </w:rPr>
        <w:t>This makes event-rate realism compatible with sparse violence traces. Over two to five centuries, even low-probability coercive encounters can matter if the same routes, grain basins, families, guests, and witnesses recur. Successful deterrence then lowers the archaeological visibility of violence while increasing the visibility of processing aggregation, witness density, approach management, and hard-node repetition.</w:t>
      </w:r>
    </w:p>
    <w:p>
      <w:r>
        <w:rPr>
          <w:rFonts w:ascii="Aptos" w:hAnsi="Aptos" w:eastAsia="Aptos"/>
        </w:rPr>
        <w:t>The security comparison is a lock rather than an impregnable wall. Locks do not end theft. They alter target choice, effort, noise, timing, detection probability, and expected consequence. A T-pillar node need not defeat an army to matter. It need only make this worker, this store, this threshold, or this gathering a worse opportunistic target than softer alternatives.</w:t>
      </w:r>
    </w:p>
    <w:p>
      <w:pPr>
        <w:pStyle w:val="Heading2"/>
      </w:pPr>
      <w:r>
        <w:t>8.2 Aggregation lock-in and dependence</w:t>
      </w:r>
    </w:p>
    <w:p>
      <w:pPr/>
      <w:r>
        <w:t>A recurring node can become harder to leave once it carries more than food work. Groups may return for winter margin, partner exchange, dispute damping, tool access, guest legitimacy, route predictability, and remembered safety. Attendance need not be legally required to become practically difficult to abandon.</w:t>
      </w:r>
    </w:p>
    <w:p>
      <w:pPr/>
      <w:r>
        <w:t>This ratchet is still lower-rank than the processing evidence, but it explains how occasional gathering can become dependence. Repeated success attracts more witnesses, and more witnesses increase the value of the next return.</w:t>
      </w:r>
    </w:p>
    <w:p>
      <w:pPr>
        <w:pStyle w:val="Heading1"/>
      </w:pPr>
      <w:r>
        <w:t>9. Copied visible system and learned resistance</w:t>
      </w:r>
    </w:p>
    <w:p>
      <w:r>
        <w:rPr>
          <w:rFonts w:ascii="Aptos" w:hAnsi="Aptos" w:eastAsia="Aptos"/>
        </w:rPr>
        <w:t>Boar and deer are dangerous prey, but they are not dangerous in the same social way. They can injure or kill. They cannot conduct revenge, remember a grievance across kin groups, or turn a single attack into a lasting relation between communities. A human worker is different. To seize that person is to touch a remembered social body.</w:t>
      </w:r>
    </w:p>
    <w:p>
      <w:r>
        <w:rPr>
          <w:rFonts w:ascii="Aptos" w:hAnsi="Aptos" w:eastAsia="Aptos"/>
        </w:rPr>
        <w:t>The copied visible system need not have begun as rule-making or formal warning architecture. For the protected group, the practical behaviour may have been simple: workers were safer near other people, near dogs, near stone, near witnesses, and within managed routes. The arrangement is repeated because it works.</w:t>
      </w:r>
    </w:p>
    <w:p>
      <w:r>
        <w:t>The warning value emerges on the other side of the encounter. Q feels safer, Q repeats, X tests, X fails, X remembers, and the visible form inherits the bite. X learns that the T-pillar world marks a place where coercion, theft, or attack meets hard, chronic resistance. The sign is authored less by initial intention than by failed approaches and remembered cost.</w:t>
      </w:r>
    </w:p>
    <w:p>
      <w:r>
        <w:rPr>
          <w:rFonts w:ascii="Aptos" w:hAnsi="Aptos" w:eastAsia="Aptos"/>
        </w:rPr>
        <w:t>Longer-term cost does not require courts, codes, or centralized enforcement. It can work through loss of guest status, denial of feast access, exclusion from coordinated hunts or seasonal gatherings, partner-exchange refusal, lithic or symbolic exchange loss, retaliation memory, and public naming as an unsafe faction. In this sense, the T-pillar tradition is better framed as a copied visible system of hard chronic resistance than as proto-law.</w:t>
      </w:r>
    </w:p>
    <w:p>
      <w:r>
        <w:rPr>
          <w:rFonts w:ascii="Aptos" w:hAnsi="Aptos" w:eastAsia="Aptos"/>
        </w:rPr>
        <w:t>Copied forms should not be treated as frictionless transmissions. A visible system can spread through partial adoption, prestige borrowing, local reinterpretation, hybridisation, failed adoption, or symbolic drift. Some nodes may preserve much of the original coordination role. Others may copy posture, prestige, or participation value while solving different local problems. This friction is expected, not a weakness. It is how visible systems normally travel through human landscapes.</w:t>
      </w:r>
    </w:p>
    <w:p>
      <w:pPr>
        <w:pStyle w:val="Heading2"/>
      </w:pPr>
      <w:r>
        <w:t>9.1 Presence before abstraction and stewardship</w:t>
      </w:r>
    </w:p>
    <w:p>
      <w:r>
        <w:rPr>
          <w:rFonts w:ascii="Aptos" w:hAnsi="Aptos" w:eastAsia="Aptos"/>
        </w:rPr>
        <w:t>Before records, titles, offices, or formal rank can stabilise a repeated gathering, coordination must be present in bodies. People must see one another, hear one another, arrive in known order, process food in witnessed settings, host guests, feed dogs, maintain routes, and remember who did what. Gobekli Tepe may therefore preserve coordination through recurrent presence before coordination through abstraction.</w:t>
      </w:r>
    </w:p>
    <w:p>
      <w:r>
        <w:rPr>
          <w:rFonts w:ascii="Aptos" w:hAnsi="Aptos" w:eastAsia="Aptos"/>
        </w:rPr>
        <w:t>This does not require kingship. A steward role can arise through indispensability to timing, hosting, guest sorting, labour sequencing, feast coordination, route memory, and dispute damping. The site may have been maintained by people whose authority derived from keeping a necessary process working, not by formal sovereignty. This remains an interpretive layer, but it fits high coordination without later state machinery.</w:t>
      </w:r>
    </w:p>
    <w:p>
      <w:pPr>
        <w:pStyle w:val="Heading2"/>
      </w:pPr>
      <w:r>
        <w:t>9.2 Stone persons, temporal legibility, and role-presence</w:t>
      </w:r>
    </w:p>
    <w:p>
      <w:pPr/>
      <w:r>
        <w:t>Stone may matter here less as raw mass than as temporal legibility. Before records, an artificial form that outlives its makers can tell returning people that the node, script, and expectation still persist. It stores predictability across seasonal and generational gaps.</w:t>
      </w:r>
    </w:p>
    <w:p>
      <w:pPr/>
      <w:r>
        <w:t>The T-pillars can therefore be discussed as persistent role-presences rather than portraits. Faces individualise; reduced anthropomorphic syntax generalises. Arms, belts, stance, paired centrality, and repeated form can mark social positions of witnessed presence without naming particular persons. In large gatherings of partly familiar people, such abstraction may travel better than local narrative specificity.</w:t>
      </w:r>
    </w:p>
    <w:p>
      <w:pPr/>
      <w:r>
        <w:t>This does not decode the pillars as a single symbol. It explains why person-like permanence is useful in a world where coordination is not yet delegated to offices, writing, or formal titles. Stone persons help reduce anonymity around visible value conversion by making the gathered condition durable when living witnesses are absent.</w:t>
      </w:r>
    </w:p>
    <w:p>
      <w:pPr>
        <w:pStyle w:val="Heading1"/>
      </w:pPr>
      <w:r>
        <w:t>10. T-pillars, thresholds, and probability management</w:t>
      </w:r>
    </w:p>
    <w:p>
      <w:r>
        <w:rPr>
          <w:rFonts w:ascii="Aptos" w:hAnsi="Aptos" w:eastAsia="Aptos"/>
        </w:rPr>
        <w:t>The central enclosures are the ritual core, not the proposed combat chamber. Their inward-facing design, central stone persons, benches, animal imagery, and death-practice associations support gathering, memory, and attention. Any tactical affordance remains lower-rank and belongs to approaches, threshold zones, terraces, outer routes, temporary timber, screens, and food-adjacent barriers.</w:t>
      </w:r>
    </w:p>
    <w:p>
      <w:r>
        <w:rPr>
          <w:rFonts w:ascii="Aptos" w:hAnsi="Aptos" w:eastAsia="Aptos"/>
        </w:rPr>
        <w:t>The load-bearing claim is not attack choreography. It is encounter shaping. Watched approaches, dogs, stone edges, resident clustering, slope, noise, and known witnesses make a target slower, louder, less anonymous, and more socially costly than softer alternatives. The relevant comparison is a lock, not an impregnable wall: the system need only alter target choice, effort, timing, detection probability, and expected consequence.</w:t>
      </w:r>
    </w:p>
    <w:p>
      <w:r>
        <w:rPr>
          <w:rFonts w:ascii="Aptos" w:hAnsi="Aptos" w:eastAsia="Aptos"/>
        </w:rPr>
        <w:t>Falling-stone, upper-surface, or close-assault ideas remain low-rank affordance hypotheses. They may guide future field questions about sockets, rubble, repair, impact traces, timber supports, and threshold debris, but the paper does not depend on them. The stronger claim is that architecture and aggregation raised friction around protected processing by turning uncertain approach into witnessed event.</w:t>
      </w:r>
    </w:p>
    <w:p>
      <w:pPr>
        <w:pStyle w:val="Heading1"/>
      </w:pPr>
      <w:r>
        <w:t>11. Metrics and scale checks</w:t>
      </w:r>
    </w:p>
    <w:p>
      <w:r>
        <w:rPr>
          <w:rFonts w:ascii="Aptos" w:hAnsi="Aptos" w:eastAsia="Aptos"/>
        </w:rP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EDEDED"/>
          </w:tcPr>
          <w:p>
            <w:pPr>
              <w:spacing w:after="0" w:line="240" w:lineRule="auto"/>
            </w:pPr>
            <w:r>
              <w:rPr>
                <w:sz w:val="16"/>
              </w:rPr>
            </w:r>
            <w:r>
              <w:rPr>
                <w:rFonts w:ascii="Aptos" w:hAnsi="Aptos" w:eastAsia="Aptos"/>
                <w:b/>
                <w:sz w:val="16"/>
              </w:rPr>
              <w:t>Feature or quantity</w:t>
            </w:r>
          </w:p>
        </w:tc>
        <w:tc>
          <w:tcPr>
            <w:tcW w:type="dxa" w:w="3456"/>
            <w:vAlign w:val="top"/>
            <w:shd w:fill="EDEDED"/>
          </w:tcPr>
          <w:p>
            <w:pPr>
              <w:spacing w:after="0" w:line="240" w:lineRule="auto"/>
            </w:pPr>
            <w:r>
              <w:rPr>
                <w:sz w:val="16"/>
              </w:rPr>
            </w:r>
            <w:r>
              <w:rPr>
                <w:rFonts w:ascii="Aptos" w:hAnsi="Aptos" w:eastAsia="Aptos"/>
                <w:b/>
                <w:sz w:val="16"/>
              </w:rPr>
              <w:t>Scale check</w:t>
            </w:r>
          </w:p>
        </w:tc>
        <w:tc>
          <w:tcPr>
            <w:tcW w:type="dxa" w:w="3456"/>
            <w:vAlign w:val="top"/>
            <w:shd w:fill="EDEDED"/>
          </w:tcPr>
          <w:p>
            <w:pPr>
              <w:spacing w:after="0" w:line="240" w:lineRule="auto"/>
            </w:pPr>
            <w:r>
              <w:rPr>
                <w:sz w:val="16"/>
              </w:rPr>
            </w:r>
            <w:r>
              <w:rPr>
                <w:rFonts w:ascii="Aptos" w:hAnsi="Aptos" w:eastAsia="Aptos"/>
                <w:b/>
                <w:sz w:val="16"/>
              </w:rPr>
              <w:t>Interpretive use</w:t>
            </w:r>
          </w:p>
        </w:tc>
      </w:tr>
      <w:tr>
        <w:tc>
          <w:tcPr>
            <w:tcW w:type="dxa" w:w="3456"/>
            <w:vAlign w:val="top"/>
          </w:tcPr>
          <w:p>
            <w:pPr>
              <w:spacing w:after="0" w:line="240" w:lineRule="auto"/>
            </w:pPr>
            <w:r>
              <w:rPr>
                <w:sz w:val="16"/>
              </w:rPr>
            </w:r>
            <w:r>
              <w:rPr>
                <w:rFonts w:ascii="Aptos" w:hAnsi="Aptos" w:eastAsia="Aptos"/>
                <w:b w:val="0"/>
                <w:sz w:val="16"/>
              </w:rPr>
              <w:t>Circular floor area</w:t>
            </w:r>
          </w:p>
        </w:tc>
        <w:tc>
          <w:tcPr>
            <w:tcW w:type="dxa" w:w="3456"/>
            <w:vAlign w:val="top"/>
          </w:tcPr>
          <w:p>
            <w:pPr>
              <w:spacing w:after="0" w:line="240" w:lineRule="auto"/>
            </w:pPr>
            <w:r>
              <w:rPr>
                <w:sz w:val="16"/>
              </w:rPr>
            </w:r>
            <w:r>
              <w:rPr>
                <w:rFonts w:ascii="Aptos" w:hAnsi="Aptos" w:eastAsia="Aptos"/>
                <w:b w:val="0"/>
                <w:sz w:val="16"/>
              </w:rPr>
              <w:t>10 m diameter: c. 78.5 m2; 15 m: c. 176.7 m2; 20 m: c. 314.2 m2.</w:t>
            </w:r>
          </w:p>
        </w:tc>
        <w:tc>
          <w:tcPr>
            <w:tcW w:type="dxa" w:w="3456"/>
            <w:vAlign w:val="top"/>
          </w:tcPr>
          <w:p>
            <w:pPr>
              <w:spacing w:after="0" w:line="240" w:lineRule="auto"/>
            </w:pPr>
            <w:r>
              <w:rPr>
                <w:sz w:val="16"/>
              </w:rPr>
            </w:r>
            <w:r>
              <w:rPr>
                <w:rFonts w:ascii="Aptos" w:hAnsi="Aptos" w:eastAsia="Aptos"/>
                <w:b w:val="0"/>
                <w:sz w:val="16"/>
              </w:rPr>
              <w:t>Sets event and gathering scale. Not animal-trap proof.</w:t>
            </w:r>
          </w:p>
        </w:tc>
      </w:tr>
      <w:tr>
        <w:tc>
          <w:tcPr>
            <w:tcW w:type="dxa" w:w="3456"/>
            <w:vAlign w:val="top"/>
          </w:tcPr>
          <w:p>
            <w:pPr>
              <w:spacing w:after="0" w:line="240" w:lineRule="auto"/>
            </w:pPr>
            <w:r>
              <w:rPr>
                <w:sz w:val="16"/>
              </w:rPr>
            </w:r>
            <w:r>
              <w:rPr>
                <w:rFonts w:ascii="Aptos" w:hAnsi="Aptos" w:eastAsia="Aptos"/>
                <w:b w:val="0"/>
                <w:sz w:val="16"/>
              </w:rPr>
              <w:t>Workable gathering capacity</w:t>
            </w:r>
          </w:p>
        </w:tc>
        <w:tc>
          <w:tcPr>
            <w:tcW w:type="dxa" w:w="3456"/>
            <w:vAlign w:val="top"/>
          </w:tcPr>
          <w:p>
            <w:pPr>
              <w:spacing w:after="0" w:line="240" w:lineRule="auto"/>
            </w:pPr>
            <w:r>
              <w:rPr>
                <w:sz w:val="16"/>
              </w:rPr>
            </w:r>
            <w:r>
              <w:rPr>
                <w:rFonts w:ascii="Aptos" w:hAnsi="Aptos" w:eastAsia="Aptos"/>
                <w:b w:val="0"/>
                <w:sz w:val="16"/>
              </w:rPr>
              <w:t>At 1.5 m2 per person: c. 52, 118, or 209 people for 10, 15, or 20 m diameter.</w:t>
            </w:r>
          </w:p>
        </w:tc>
        <w:tc>
          <w:tcPr>
            <w:tcW w:type="dxa" w:w="3456"/>
            <w:vAlign w:val="top"/>
          </w:tcPr>
          <w:p>
            <w:pPr>
              <w:spacing w:after="0" w:line="240" w:lineRule="auto"/>
            </w:pPr>
            <w:r>
              <w:rPr>
                <w:sz w:val="16"/>
              </w:rPr>
            </w:r>
            <w:r>
              <w:rPr>
                <w:rFonts w:ascii="Aptos" w:hAnsi="Aptos" w:eastAsia="Aptos"/>
                <w:b w:val="0"/>
                <w:sz w:val="16"/>
              </w:rPr>
              <w:t>Witness, feast, ritual, or crowd capacity.</w:t>
            </w:r>
          </w:p>
        </w:tc>
      </w:tr>
      <w:tr>
        <w:tc>
          <w:tcPr>
            <w:tcW w:type="dxa" w:w="3456"/>
            <w:vAlign w:val="top"/>
          </w:tcPr>
          <w:p>
            <w:pPr>
              <w:spacing w:after="0" w:line="240" w:lineRule="auto"/>
            </w:pPr>
            <w:r>
              <w:rPr>
                <w:sz w:val="16"/>
              </w:rPr>
            </w:r>
            <w:r>
              <w:rPr>
                <w:rFonts w:ascii="Aptos" w:hAnsi="Aptos" w:eastAsia="Aptos"/>
                <w:b w:val="0"/>
                <w:sz w:val="16"/>
              </w:rPr>
              <w:t>Narrow approach queue</w:t>
            </w:r>
          </w:p>
        </w:tc>
        <w:tc>
          <w:tcPr>
            <w:tcW w:type="dxa" w:w="3456"/>
            <w:vAlign w:val="top"/>
          </w:tcPr>
          <w:p>
            <w:pPr>
              <w:spacing w:after="0" w:line="240" w:lineRule="auto"/>
            </w:pPr>
            <w:r>
              <w:rPr>
                <w:sz w:val="16"/>
              </w:rPr>
            </w:r>
            <w:r>
              <w:rPr>
                <w:rFonts w:ascii="Aptos" w:hAnsi="Aptos" w:eastAsia="Aptos"/>
                <w:b w:val="0"/>
                <w:sz w:val="16"/>
              </w:rPr>
              <w:t>5 m x 1.2 m can hold roughly 6-10 bunched people.</w:t>
            </w:r>
          </w:p>
        </w:tc>
        <w:tc>
          <w:tcPr>
            <w:tcW w:type="dxa" w:w="3456"/>
            <w:vAlign w:val="top"/>
          </w:tcPr>
          <w:p>
            <w:pPr>
              <w:spacing w:after="0" w:line="240" w:lineRule="auto"/>
            </w:pPr>
            <w:r>
              <w:rPr>
                <w:sz w:val="16"/>
              </w:rPr>
            </w:r>
            <w:r>
              <w:rPr>
                <w:rFonts w:ascii="Aptos" w:hAnsi="Aptos" w:eastAsia="Aptos"/>
                <w:b w:val="0"/>
                <w:sz w:val="16"/>
              </w:rPr>
              <w:t>Tests whether a small vanguard could be paused, observed, or exposed.</w:t>
            </w:r>
          </w:p>
        </w:tc>
      </w:tr>
      <w:tr>
        <w:tc>
          <w:tcPr>
            <w:tcW w:type="dxa" w:w="3456"/>
            <w:vAlign w:val="top"/>
          </w:tcPr>
          <w:p>
            <w:pPr>
              <w:spacing w:after="0" w:line="240" w:lineRule="auto"/>
            </w:pPr>
            <w:r>
              <w:rPr>
                <w:sz w:val="16"/>
              </w:rPr>
            </w:r>
            <w:r>
              <w:rPr>
                <w:rFonts w:ascii="Aptos" w:hAnsi="Aptos" w:eastAsia="Aptos"/>
                <w:b w:val="0"/>
                <w:sz w:val="16"/>
              </w:rPr>
              <w:t>Drop or blockage strip</w:t>
            </w:r>
          </w:p>
        </w:tc>
        <w:tc>
          <w:tcPr>
            <w:tcW w:type="dxa" w:w="3456"/>
            <w:vAlign w:val="top"/>
          </w:tcPr>
          <w:p>
            <w:pPr>
              <w:spacing w:after="0" w:line="240" w:lineRule="auto"/>
            </w:pPr>
            <w:r>
              <w:rPr>
                <w:sz w:val="16"/>
              </w:rPr>
            </w:r>
            <w:r>
              <w:rPr>
                <w:rFonts w:ascii="Aptos" w:hAnsi="Aptos" w:eastAsia="Aptos"/>
                <w:b w:val="0"/>
                <w:sz w:val="16"/>
              </w:rPr>
              <w:t>4 m x 1 m affects a front cluster, not an army.</w:t>
            </w:r>
          </w:p>
        </w:tc>
        <w:tc>
          <w:tcPr>
            <w:tcW w:type="dxa" w:w="3456"/>
            <w:vAlign w:val="top"/>
          </w:tcPr>
          <w:p>
            <w:pPr>
              <w:spacing w:after="0" w:line="240" w:lineRule="auto"/>
            </w:pPr>
            <w:r>
              <w:rPr>
                <w:sz w:val="16"/>
              </w:rPr>
            </w:r>
            <w:r>
              <w:rPr>
                <w:rFonts w:ascii="Aptos" w:hAnsi="Aptos" w:eastAsia="Aptos"/>
                <w:b w:val="0"/>
                <w:sz w:val="16"/>
              </w:rPr>
              <w:t>Keeps tactical claims small-scale.</w:t>
            </w:r>
          </w:p>
        </w:tc>
      </w:tr>
      <w:tr>
        <w:tc>
          <w:tcPr>
            <w:tcW w:type="dxa" w:w="3456"/>
            <w:vAlign w:val="top"/>
          </w:tcPr>
          <w:p>
            <w:pPr>
              <w:spacing w:after="0" w:line="240" w:lineRule="auto"/>
            </w:pPr>
            <w:r>
              <w:rPr>
                <w:sz w:val="16"/>
              </w:rPr>
            </w:r>
            <w:r>
              <w:rPr>
                <w:rFonts w:ascii="Aptos" w:hAnsi="Aptos" w:eastAsia="Aptos"/>
                <w:b w:val="0"/>
                <w:sz w:val="16"/>
              </w:rPr>
              <w:t>Dry cereal storage</w:t>
            </w:r>
          </w:p>
        </w:tc>
        <w:tc>
          <w:tcPr>
            <w:tcW w:type="dxa" w:w="3456"/>
            <w:vAlign w:val="top"/>
          </w:tcPr>
          <w:p>
            <w:pPr>
              <w:spacing w:after="0" w:line="240" w:lineRule="auto"/>
            </w:pPr>
            <w:r>
              <w:rPr>
                <w:sz w:val="16"/>
              </w:rPr>
            </w:r>
            <w:r>
              <w:rPr>
                <w:rFonts w:ascii="Aptos" w:hAnsi="Aptos" w:eastAsia="Aptos"/>
                <w:b w:val="0"/>
                <w:sz w:val="16"/>
              </w:rPr>
              <w:t>A rough cereal density of c. 700-800 kg/m3 and c. 3400 kcal/kg means 1 m3 can represent c. 2.4-2.7 million kcal.</w:t>
            </w:r>
          </w:p>
        </w:tc>
        <w:tc>
          <w:tcPr>
            <w:tcW w:type="dxa" w:w="3456"/>
            <w:vAlign w:val="top"/>
          </w:tcPr>
          <w:p>
            <w:pPr>
              <w:spacing w:after="0" w:line="240" w:lineRule="auto"/>
            </w:pPr>
            <w:r>
              <w:rPr>
                <w:sz w:val="16"/>
              </w:rPr>
            </w:r>
            <w:r>
              <w:rPr>
                <w:rFonts w:ascii="Aptos" w:hAnsi="Aptos" w:eastAsia="Aptos"/>
                <w:b w:val="0"/>
                <w:sz w:val="16"/>
              </w:rPr>
              <w:t>Shows why even modest perceived stores could matter. Actual stores require evidence.</w:t>
            </w:r>
          </w:p>
        </w:tc>
      </w:tr>
      <w:tr>
        <w:tc>
          <w:tcPr>
            <w:tcW w:type="dxa" w:w="3456"/>
            <w:vAlign w:val="top"/>
          </w:tcPr>
          <w:p>
            <w:pPr>
              <w:spacing w:after="0" w:line="240" w:lineRule="auto"/>
            </w:pPr>
            <w:r>
              <w:rPr>
                <w:sz w:val="16"/>
              </w:rPr>
            </w:r>
            <w:r>
              <w:rPr>
                <w:rFonts w:ascii="Aptos" w:hAnsi="Aptos" w:eastAsia="Aptos"/>
                <w:b w:val="0"/>
                <w:sz w:val="16"/>
              </w:rPr>
              <w:t>Protected processing value</w:t>
            </w:r>
          </w:p>
        </w:tc>
        <w:tc>
          <w:tcPr>
            <w:tcW w:type="dxa" w:w="3456"/>
            <w:vAlign w:val="top"/>
          </w:tcPr>
          <w:p>
            <w:pPr>
              <w:spacing w:after="0" w:line="240" w:lineRule="auto"/>
            </w:pPr>
            <w:r>
              <w:rPr>
                <w:sz w:val="16"/>
              </w:rPr>
            </w:r>
            <w:r>
              <w:rPr>
                <w:rFonts w:ascii="Aptos" w:hAnsi="Aptos" w:eastAsia="Aptos"/>
                <w:b w:val="0"/>
                <w:sz w:val="16"/>
              </w:rPr>
              <w:t>One common handstone type has been experimentally reported at about 4.8 kg flour in eight working hours. [2]</w:t>
            </w:r>
          </w:p>
        </w:tc>
        <w:tc>
          <w:tcPr>
            <w:tcW w:type="dxa" w:w="3456"/>
            <w:vAlign w:val="top"/>
          </w:tcPr>
          <w:p>
            <w:pPr>
              <w:spacing w:after="0" w:line="240" w:lineRule="auto"/>
            </w:pPr>
            <w:r>
              <w:rPr>
                <w:sz w:val="16"/>
              </w:rPr>
            </w:r>
            <w:r>
              <w:rPr>
                <w:rFonts w:ascii="Aptos" w:hAnsi="Aptos" w:eastAsia="Aptos"/>
                <w:b w:val="0"/>
                <w:sz w:val="16"/>
              </w:rPr>
              <w:t>Flour carries calories plus grinding labour, fatigue, and tool wear.</w:t>
            </w:r>
          </w:p>
        </w:tc>
      </w:tr>
      <w:tr>
        <w:tc>
          <w:tcPr>
            <w:tcW w:type="dxa" w:w="3456"/>
            <w:vAlign w:val="top"/>
          </w:tcPr>
          <w:p>
            <w:pPr>
              <w:spacing w:after="0" w:line="240" w:lineRule="auto"/>
            </w:pPr>
            <w:r>
              <w:rPr>
                <w:sz w:val="16"/>
              </w:rPr>
            </w:r>
            <w:r>
              <w:rPr>
                <w:rFonts w:ascii="Aptos" w:hAnsi="Aptos" w:eastAsia="Aptos"/>
                <w:b w:val="0"/>
                <w:sz w:val="16"/>
              </w:rPr>
              <w:t>Worker-risk value</w:t>
            </w:r>
          </w:p>
        </w:tc>
        <w:tc>
          <w:tcPr>
            <w:tcW w:type="dxa" w:w="3456"/>
            <w:vAlign w:val="top"/>
          </w:tcPr>
          <w:p>
            <w:pPr>
              <w:spacing w:after="0" w:line="240" w:lineRule="auto"/>
            </w:pPr>
            <w:r>
              <w:rPr>
                <w:sz w:val="16"/>
              </w:rPr>
            </w:r>
            <w:r>
              <w:rPr>
                <w:rFonts w:ascii="Aptos" w:hAnsi="Aptos" w:eastAsia="Aptos"/>
                <w:b w:val="0"/>
                <w:sz w:val="16"/>
              </w:rPr>
              <w:t>One seized skilled worker can expose tools, routes, store locations, kin obligations, and timing.</w:t>
            </w:r>
          </w:p>
        </w:tc>
        <w:tc>
          <w:tcPr>
            <w:tcW w:type="dxa" w:w="3456"/>
            <w:vAlign w:val="top"/>
          </w:tcPr>
          <w:p>
            <w:pPr>
              <w:spacing w:after="0" w:line="240" w:lineRule="auto"/>
            </w:pPr>
            <w:r>
              <w:rPr>
                <w:sz w:val="16"/>
              </w:rPr>
            </w:r>
            <w:r>
              <w:rPr>
                <w:rFonts w:ascii="Aptos" w:hAnsi="Aptos" w:eastAsia="Aptos"/>
                <w:b w:val="0"/>
                <w:sz w:val="16"/>
              </w:rPr>
              <w:t>Shows why worker protection can matter more than bread theft alone.</w:t>
            </w:r>
          </w:p>
        </w:tc>
      </w:tr>
      <w:tr>
        <w:tc>
          <w:tcPr>
            <w:tcW w:type="dxa" w:w="3456"/>
            <w:vAlign w:val="top"/>
          </w:tcPr>
          <w:p>
            <w:pPr>
              <w:spacing w:after="0" w:line="240" w:lineRule="auto"/>
            </w:pPr>
            <w:r>
              <w:rPr>
                <w:sz w:val="16"/>
              </w:rPr>
            </w:r>
            <w:r>
              <w:rPr>
                <w:rFonts w:ascii="Aptos" w:hAnsi="Aptos" w:eastAsia="Aptos"/>
                <w:b w:val="0"/>
                <w:sz w:val="16"/>
              </w:rPr>
              <w:t>Wall economy</w:t>
            </w:r>
          </w:p>
        </w:tc>
        <w:tc>
          <w:tcPr>
            <w:tcW w:type="dxa" w:w="3456"/>
            <w:vAlign w:val="top"/>
          </w:tcPr>
          <w:p>
            <w:pPr>
              <w:spacing w:after="0" w:line="240" w:lineRule="auto"/>
            </w:pPr>
            <w:r>
              <w:rPr>
                <w:sz w:val="16"/>
              </w:rPr>
            </w:r>
            <w:r>
              <w:rPr>
                <w:rFonts w:ascii="Aptos" w:hAnsi="Aptos" w:eastAsia="Aptos"/>
                <w:b w:val="0"/>
                <w:sz w:val="16"/>
              </w:rPr>
              <w:t>100 detached rooms: c. 400 outer wall-lengths. A 10 by 10 attached block: c. 220 wall-lengths.</w:t>
            </w:r>
          </w:p>
        </w:tc>
        <w:tc>
          <w:tcPr>
            <w:tcW w:type="dxa" w:w="3456"/>
            <w:vAlign w:val="top"/>
          </w:tcPr>
          <w:p>
            <w:pPr>
              <w:spacing w:after="0" w:line="240" w:lineRule="auto"/>
            </w:pPr>
            <w:r>
              <w:rPr>
                <w:sz w:val="16"/>
              </w:rPr>
            </w:r>
            <w:r>
              <w:rPr>
                <w:rFonts w:ascii="Aptos" w:hAnsi="Aptos" w:eastAsia="Aptos"/>
                <w:b w:val="0"/>
                <w:sz w:val="16"/>
              </w:rPr>
              <w:t>Shows why clustered work and dwelling spaces can become attractive without requiring ideology as the first cause.</w:t>
            </w:r>
          </w:p>
        </w:tc>
      </w:tr>
      <w:tr>
        <w:tc>
          <w:tcPr>
            <w:tcW w:type="dxa" w:w="3456"/>
            <w:vAlign w:val="top"/>
          </w:tcPr>
          <w:p>
            <w:pPr>
              <w:spacing w:after="0" w:line="240" w:lineRule="auto"/>
            </w:pPr>
            <w:r>
              <w:rPr>
                <w:sz w:val="16"/>
              </w:rPr>
            </w:r>
            <w:r>
              <w:rPr>
                <w:rFonts w:ascii="Aptos" w:hAnsi="Aptos" w:eastAsia="Aptos"/>
                <w:b w:val="0"/>
                <w:sz w:val="16"/>
              </w:rPr>
              <w:t>Hungry-person-day scale</w:t>
            </w:r>
          </w:p>
        </w:tc>
        <w:tc>
          <w:tcPr>
            <w:tcW w:type="dxa" w:w="3456"/>
            <w:vAlign w:val="top"/>
          </w:tcPr>
          <w:p>
            <w:pPr>
              <w:spacing w:after="0" w:line="240" w:lineRule="auto"/>
            </w:pPr>
            <w:r>
              <w:rPr>
                <w:sz w:val="16"/>
              </w:rPr>
            </w:r>
            <w:r>
              <w:rPr>
                <w:rFonts w:ascii="Aptos" w:hAnsi="Aptos" w:eastAsia="Aptos"/>
                <w:b w:val="0"/>
                <w:sz w:val="16"/>
              </w:rPr>
              <w:t>c. 2.4-2.7 million kcal at 2500-3500 kcal/day equals roughly 700-1000 high-demand person-days.</w:t>
            </w:r>
          </w:p>
        </w:tc>
        <w:tc>
          <w:tcPr>
            <w:tcW w:type="dxa" w:w="3456"/>
            <w:vAlign w:val="top"/>
          </w:tcPr>
          <w:p>
            <w:pPr>
              <w:spacing w:after="0" w:line="240" w:lineRule="auto"/>
            </w:pPr>
            <w:r>
              <w:rPr>
                <w:sz w:val="16"/>
              </w:rPr>
            </w:r>
            <w:r>
              <w:rPr>
                <w:rFonts w:ascii="Aptos" w:hAnsi="Aptos" w:eastAsia="Aptos"/>
                <w:b w:val="0"/>
                <w:sz w:val="16"/>
              </w:rPr>
              <w:t>Frames storage as winter-extension arithmetic, not abstract wealth.</w:t>
            </w:r>
          </w:p>
        </w:tc>
      </w:tr>
    </w:tbl>
    <w:p/>
    <w:p>
      <w:pPr>
        <w:pStyle w:val="Heading1"/>
      </w:pPr>
      <w:r>
        <w:t>12. Testing plan: lead with ground-stone and multi-proxy threshold evidence</w:t>
      </w:r>
    </w:p>
    <w:p>
      <w:r>
        <w:rPr>
          <w:rFonts w:ascii="Aptos" w:hAnsi="Aptos" w:eastAsia="Aptos"/>
        </w:rPr>
        <w:t>The strongest test plan is not a hunt for heroic artifacts. It begins with the ground-stone processing anomaly, then tests whether feeder landscapes, thresholds, and access routes show convergent patterning.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EDEDED"/>
          </w:tcPr>
          <w:p>
            <w:pPr>
              <w:spacing w:after="0" w:line="240" w:lineRule="auto"/>
            </w:pPr>
            <w:r>
              <w:rPr>
                <w:sz w:val="16"/>
              </w:rPr>
            </w:r>
            <w:r>
              <w:rPr>
                <w:rFonts w:ascii="Aptos" w:hAnsi="Aptos" w:eastAsia="Aptos"/>
                <w:b/>
                <w:sz w:val="16"/>
              </w:rPr>
              <w:t>Test target</w:t>
            </w:r>
          </w:p>
        </w:tc>
        <w:tc>
          <w:tcPr>
            <w:tcW w:type="dxa" w:w="3456"/>
            <w:vAlign w:val="top"/>
            <w:shd w:fill="EDEDED"/>
          </w:tcPr>
          <w:p>
            <w:pPr>
              <w:spacing w:after="0" w:line="240" w:lineRule="auto"/>
            </w:pPr>
            <w:r>
              <w:rPr>
                <w:sz w:val="16"/>
              </w:rPr>
            </w:r>
            <w:r>
              <w:rPr>
                <w:rFonts w:ascii="Aptos" w:hAnsi="Aptos" w:eastAsia="Aptos"/>
                <w:b/>
                <w:sz w:val="16"/>
              </w:rPr>
              <w:t>What to look for</w:t>
            </w:r>
          </w:p>
        </w:tc>
        <w:tc>
          <w:tcPr>
            <w:tcW w:type="dxa" w:w="3456"/>
            <w:vAlign w:val="top"/>
            <w:shd w:fill="EDEDED"/>
          </w:tcPr>
          <w:p>
            <w:pPr>
              <w:spacing w:after="0" w:line="240" w:lineRule="auto"/>
            </w:pPr>
            <w:r>
              <w:rPr>
                <w:sz w:val="16"/>
              </w:rPr>
            </w:r>
            <w:r>
              <w:rPr>
                <w:rFonts w:ascii="Aptos" w:hAnsi="Aptos" w:eastAsia="Aptos"/>
                <w:b/>
                <w:sz w:val="16"/>
              </w:rPr>
              <w:t>What it would resolve</w:t>
            </w:r>
          </w:p>
        </w:tc>
      </w:tr>
      <w:tr>
        <w:tc>
          <w:tcPr>
            <w:tcW w:type="dxa" w:w="3456"/>
            <w:vAlign w:val="top"/>
          </w:tcPr>
          <w:p>
            <w:pPr>
              <w:spacing w:after="0" w:line="240" w:lineRule="auto"/>
            </w:pPr>
            <w:r>
              <w:rPr>
                <w:sz w:val="16"/>
              </w:rPr>
            </w:r>
            <w:r>
              <w:rPr>
                <w:rFonts w:ascii="Aptos" w:hAnsi="Aptos" w:eastAsia="Aptos"/>
                <w:b w:val="0"/>
                <w:sz w:val="16"/>
              </w:rPr>
              <w:t>Impact-diagnostic traces</w:t>
            </w:r>
          </w:p>
        </w:tc>
        <w:tc>
          <w:tcPr>
            <w:tcW w:type="dxa" w:w="3456"/>
            <w:vAlign w:val="top"/>
          </w:tcPr>
          <w:p>
            <w:pPr>
              <w:spacing w:after="0" w:line="240" w:lineRule="auto"/>
            </w:pPr>
            <w:r>
              <w:rPr>
                <w:sz w:val="16"/>
              </w:rPr>
            </w:r>
            <w:r>
              <w:rPr>
                <w:rFonts w:ascii="Aptos" w:hAnsi="Aptos" w:eastAsia="Aptos"/>
                <w:b w:val="0"/>
                <w:sz w:val="16"/>
              </w:rPr>
              <w:t>Impact-shattered lithic fragments, embedded tip fragments, fracture-wing geometry, step terminations, limestone spalling or micro-striations.</w:t>
            </w:r>
          </w:p>
        </w:tc>
        <w:tc>
          <w:tcPr>
            <w:tcW w:type="dxa" w:w="3456"/>
            <w:vAlign w:val="top"/>
          </w:tcPr>
          <w:p>
            <w:pPr>
              <w:spacing w:after="0" w:line="240" w:lineRule="auto"/>
            </w:pPr>
            <w:r>
              <w:rPr>
                <w:sz w:val="16"/>
              </w:rPr>
            </w:r>
            <w:r>
              <w:rPr>
                <w:rFonts w:ascii="Aptos" w:hAnsi="Aptos" w:eastAsia="Aptos"/>
                <w:b w:val="0"/>
                <w:sz w:val="16"/>
              </w:rPr>
              <w:t>Whether approach zones preserve violent-contact signals beyond ordinary tool work.</w:t>
            </w:r>
          </w:p>
        </w:tc>
      </w:tr>
      <w:tr>
        <w:tc>
          <w:tcPr>
            <w:tcW w:type="dxa" w:w="3456"/>
            <w:vAlign w:val="top"/>
          </w:tcPr>
          <w:p>
            <w:pPr>
              <w:spacing w:after="0" w:line="240" w:lineRule="auto"/>
            </w:pPr>
            <w:r>
              <w:rPr>
                <w:sz w:val="16"/>
              </w:rPr>
            </w:r>
            <w:r>
              <w:rPr>
                <w:rFonts w:ascii="Aptos" w:hAnsi="Aptos" w:eastAsia="Aptos"/>
                <w:b w:val="0"/>
                <w:sz w:val="16"/>
              </w:rPr>
              <w:t>Taphonomic filter</w:t>
            </w:r>
          </w:p>
        </w:tc>
        <w:tc>
          <w:tcPr>
            <w:tcW w:type="dxa" w:w="3456"/>
            <w:vAlign w:val="top"/>
          </w:tcPr>
          <w:p>
            <w:pPr>
              <w:spacing w:after="0" w:line="240" w:lineRule="auto"/>
            </w:pPr>
            <w:r>
              <w:rPr>
                <w:sz w:val="16"/>
              </w:rPr>
            </w:r>
            <w:r>
              <w:rPr>
                <w:rFonts w:ascii="Aptos" w:hAnsi="Aptos" w:eastAsia="Aptos"/>
                <w:b w:val="0"/>
                <w:sz w:val="16"/>
              </w:rPr>
              <w:t>Compare organic residues with stone-surface damage, lithic damage, repair, route placement, fill sequence, and scavenger disturbance.</w:t>
            </w:r>
          </w:p>
        </w:tc>
        <w:tc>
          <w:tcPr>
            <w:tcW w:type="dxa" w:w="3456"/>
            <w:vAlign w:val="top"/>
          </w:tcPr>
          <w:p>
            <w:pPr>
              <w:spacing w:after="0" w:line="240" w:lineRule="auto"/>
            </w:pPr>
            <w:r>
              <w:rPr>
                <w:sz w:val="16"/>
              </w:rPr>
            </w:r>
            <w:r>
              <w:rPr>
                <w:rFonts w:ascii="Aptos" w:hAnsi="Aptos" w:eastAsia="Aptos"/>
                <w:b w:val="0"/>
                <w:sz w:val="16"/>
              </w:rPr>
              <w:t>Whether residue patterns survive animal and domestic noise.</w:t>
            </w:r>
          </w:p>
        </w:tc>
      </w:tr>
      <w:tr>
        <w:tc>
          <w:tcPr>
            <w:tcW w:type="dxa" w:w="3456"/>
            <w:vAlign w:val="top"/>
          </w:tcPr>
          <w:p>
            <w:pPr>
              <w:spacing w:after="0" w:line="240" w:lineRule="auto"/>
            </w:pPr>
            <w:r>
              <w:rPr>
                <w:sz w:val="16"/>
              </w:rPr>
            </w:r>
            <w:r>
              <w:rPr>
                <w:rFonts w:ascii="Aptos" w:hAnsi="Aptos" w:eastAsia="Aptos"/>
                <w:b w:val="0"/>
                <w:sz w:val="16"/>
              </w:rPr>
              <w:t>Route overlay</w:t>
            </w:r>
          </w:p>
        </w:tc>
        <w:tc>
          <w:tcPr>
            <w:tcW w:type="dxa" w:w="3456"/>
            <w:vAlign w:val="top"/>
          </w:tcPr>
          <w:p>
            <w:pPr>
              <w:spacing w:after="0" w:line="240" w:lineRule="auto"/>
            </w:pPr>
            <w:r>
              <w:rPr>
                <w:sz w:val="16"/>
              </w:rPr>
            </w:r>
            <w:r>
              <w:rPr>
                <w:rFonts w:ascii="Aptos" w:hAnsi="Aptos" w:eastAsia="Aptos"/>
                <w:b w:val="0"/>
                <w:sz w:val="16"/>
              </w:rPr>
              <w:t>Approaches, thresholds, benches, terraces, possible platforms, outer routes, and reroutes.</w:t>
            </w:r>
          </w:p>
        </w:tc>
        <w:tc>
          <w:tcPr>
            <w:tcW w:type="dxa" w:w="3456"/>
            <w:vAlign w:val="top"/>
          </w:tcPr>
          <w:p>
            <w:pPr>
              <w:spacing w:after="0" w:line="240" w:lineRule="auto"/>
            </w:pPr>
            <w:r>
              <w:rPr>
                <w:sz w:val="16"/>
              </w:rPr>
            </w:r>
            <w:r>
              <w:rPr>
                <w:rFonts w:ascii="Aptos" w:hAnsi="Aptos" w:eastAsia="Aptos"/>
                <w:b w:val="0"/>
                <w:sz w:val="16"/>
              </w:rPr>
              <w:t>Whether people could be delayed, observed, bunched, or redirected.</w:t>
            </w:r>
          </w:p>
        </w:tc>
      </w:tr>
      <w:tr>
        <w:tc>
          <w:tcPr>
            <w:tcW w:type="dxa" w:w="3456"/>
            <w:vAlign w:val="top"/>
          </w:tcPr>
          <w:p>
            <w:pPr>
              <w:spacing w:after="0" w:line="240" w:lineRule="auto"/>
            </w:pPr>
            <w:r>
              <w:rPr>
                <w:sz w:val="16"/>
              </w:rPr>
            </w:r>
            <w:r>
              <w:rPr>
                <w:rFonts w:ascii="Aptos" w:hAnsi="Aptos" w:eastAsia="Aptos"/>
                <w:b w:val="0"/>
                <w:sz w:val="16"/>
              </w:rPr>
              <w:t>Figure 1A: regional feeder macro-view</w:t>
            </w:r>
          </w:p>
        </w:tc>
        <w:tc>
          <w:tcPr>
            <w:tcW w:type="dxa" w:w="3456"/>
            <w:vAlign w:val="top"/>
          </w:tcPr>
          <w:p>
            <w:pPr>
              <w:spacing w:after="0" w:line="240" w:lineRule="auto"/>
            </w:pPr>
            <w:r>
              <w:rPr>
                <w:sz w:val="16"/>
              </w:rPr>
            </w:r>
            <w:r>
              <w:rPr>
                <w:rFonts w:ascii="Aptos" w:hAnsi="Aptos" w:eastAsia="Aptos"/>
                <w:b w:val="0"/>
                <w:sz w:val="16"/>
              </w:rPr>
              <w:t>Outer grain-gathering zones, small camps, minor stores, wild cereal catchments, routes, seasonal water, and movement toward the protected node.</w:t>
            </w:r>
          </w:p>
        </w:tc>
        <w:tc>
          <w:tcPr>
            <w:tcW w:type="dxa" w:w="3456"/>
            <w:vAlign w:val="top"/>
          </w:tcPr>
          <w:p>
            <w:pPr>
              <w:spacing w:after="0" w:line="240" w:lineRule="auto"/>
            </w:pPr>
            <w:r>
              <w:rPr>
                <w:sz w:val="16"/>
              </w:rPr>
            </w:r>
            <w:r>
              <w:rPr>
                <w:rFonts w:ascii="Aptos" w:hAnsi="Aptos" w:eastAsia="Aptos"/>
                <w:b w:val="0"/>
                <w:sz w:val="16"/>
              </w:rPr>
              <w:t>Whether pressure plausibly formed outside the monumental core.</w:t>
            </w:r>
          </w:p>
        </w:tc>
      </w:tr>
      <w:tr>
        <w:tc>
          <w:tcPr>
            <w:tcW w:type="dxa" w:w="3456"/>
            <w:vAlign w:val="top"/>
          </w:tcPr>
          <w:p>
            <w:pPr>
              <w:spacing w:after="0" w:line="240" w:lineRule="auto"/>
            </w:pPr>
            <w:r>
              <w:rPr>
                <w:sz w:val="16"/>
              </w:rPr>
            </w:r>
            <w:r>
              <w:rPr>
                <w:rFonts w:ascii="Aptos" w:hAnsi="Aptos" w:eastAsia="Aptos"/>
                <w:b w:val="0"/>
                <w:sz w:val="16"/>
              </w:rPr>
              <w:t>Figure 1B: intramural threshold micro-view</w:t>
            </w:r>
          </w:p>
        </w:tc>
        <w:tc>
          <w:tcPr>
            <w:tcW w:type="dxa" w:w="3456"/>
            <w:vAlign w:val="top"/>
          </w:tcPr>
          <w:p>
            <w:pPr>
              <w:spacing w:after="0" w:line="240" w:lineRule="auto"/>
            </w:pPr>
            <w:r>
              <w:rPr>
                <w:sz w:val="16"/>
              </w:rPr>
            </w:r>
            <w:r>
              <w:rPr>
                <w:rFonts w:ascii="Aptos" w:hAnsi="Aptos" w:eastAsia="Aptos"/>
                <w:b w:val="0"/>
                <w:sz w:val="16"/>
              </w:rPr>
              <w:t>Outer routes, terraces, screens, observation points, resident clustering points, narrow approach queues, and protected routes into processing zones.</w:t>
            </w:r>
          </w:p>
        </w:tc>
        <w:tc>
          <w:tcPr>
            <w:tcW w:type="dxa" w:w="3456"/>
            <w:vAlign w:val="top"/>
          </w:tcPr>
          <w:p>
            <w:pPr>
              <w:spacing w:after="0" w:line="240" w:lineRule="auto"/>
            </w:pPr>
            <w:r>
              <w:rPr>
                <w:sz w:val="16"/>
              </w:rPr>
            </w:r>
            <w:r>
              <w:rPr>
                <w:rFonts w:ascii="Aptos" w:hAnsi="Aptos" w:eastAsia="Aptos"/>
                <w:b w:val="0"/>
                <w:sz w:val="16"/>
              </w:rPr>
              <w:t>Whether the site could create early warning and defensive clustering without making the central enclosures combat chambers.</w:t>
            </w:r>
          </w:p>
        </w:tc>
      </w:tr>
      <w:tr>
        <w:tc>
          <w:tcPr>
            <w:tcW w:type="dxa" w:w="3456"/>
            <w:vAlign w:val="top"/>
          </w:tcPr>
          <w:p>
            <w:pPr>
              <w:spacing w:after="0" w:line="240" w:lineRule="auto"/>
            </w:pPr>
            <w:r>
              <w:rPr>
                <w:sz w:val="16"/>
              </w:rPr>
            </w:r>
            <w:r>
              <w:rPr>
                <w:rFonts w:ascii="Aptos" w:hAnsi="Aptos" w:eastAsia="Aptos"/>
                <w:b w:val="0"/>
                <w:sz w:val="16"/>
              </w:rPr>
              <w:t>Protected processing map</w:t>
            </w:r>
          </w:p>
        </w:tc>
        <w:tc>
          <w:tcPr>
            <w:tcW w:type="dxa" w:w="3456"/>
            <w:vAlign w:val="top"/>
          </w:tcPr>
          <w:p>
            <w:pPr>
              <w:spacing w:after="0" w:line="240" w:lineRule="auto"/>
            </w:pPr>
            <w:r>
              <w:rPr>
                <w:sz w:val="16"/>
              </w:rPr>
            </w:r>
            <w:r>
              <w:rPr>
                <w:rFonts w:ascii="Aptos" w:hAnsi="Aptos" w:eastAsia="Aptos"/>
                <w:b w:val="0"/>
                <w:sz w:val="16"/>
              </w:rPr>
              <w:t>Grinding tools, work surfaces, discard, paths, water, possible containers, screens, and watch points.</w:t>
            </w:r>
          </w:p>
        </w:tc>
        <w:tc>
          <w:tcPr>
            <w:tcW w:type="dxa" w:w="3456"/>
            <w:vAlign w:val="top"/>
          </w:tcPr>
          <w:p>
            <w:pPr>
              <w:spacing w:after="0" w:line="240" w:lineRule="auto"/>
            </w:pPr>
            <w:r>
              <w:rPr>
                <w:sz w:val="16"/>
              </w:rPr>
            </w:r>
            <w:r>
              <w:rPr>
                <w:rFonts w:ascii="Aptos" w:hAnsi="Aptos" w:eastAsia="Aptos"/>
                <w:b w:val="0"/>
                <w:sz w:val="16"/>
              </w:rPr>
              <w:t>Whether processing clustered in ways that made safety, contribution, or raider-risk plausible.</w:t>
            </w:r>
          </w:p>
        </w:tc>
      </w:tr>
      <w:tr>
        <w:tc>
          <w:tcPr>
            <w:tcW w:type="dxa" w:w="3456"/>
            <w:vAlign w:val="top"/>
          </w:tcPr>
          <w:p>
            <w:pPr>
              <w:spacing w:after="0" w:line="240" w:lineRule="auto"/>
            </w:pPr>
            <w:r>
              <w:rPr>
                <w:sz w:val="16"/>
              </w:rPr>
            </w:r>
            <w:r>
              <w:rPr>
                <w:rFonts w:ascii="Aptos" w:hAnsi="Aptos" w:eastAsia="Aptos"/>
                <w:b w:val="0"/>
                <w:sz w:val="16"/>
              </w:rPr>
              <w:t>Worker-risk landscape</w:t>
            </w:r>
          </w:p>
        </w:tc>
        <w:tc>
          <w:tcPr>
            <w:tcW w:type="dxa" w:w="3456"/>
            <w:vAlign w:val="top"/>
          </w:tcPr>
          <w:p>
            <w:pPr>
              <w:spacing w:after="0" w:line="240" w:lineRule="auto"/>
            </w:pPr>
            <w:r>
              <w:rPr>
                <w:sz w:val="16"/>
              </w:rPr>
            </w:r>
            <w:r>
              <w:rPr>
                <w:rFonts w:ascii="Aptos" w:hAnsi="Aptos" w:eastAsia="Aptos"/>
                <w:b w:val="0"/>
                <w:sz w:val="16"/>
              </w:rPr>
              <w:t>Isolated grinding hollows, exposed return routes, missing or moved grinding kit, paired work, watched paths, sudden relocation from scattered food work.</w:t>
            </w:r>
          </w:p>
        </w:tc>
        <w:tc>
          <w:tcPr>
            <w:tcW w:type="dxa" w:w="3456"/>
            <w:vAlign w:val="top"/>
          </w:tcPr>
          <w:p>
            <w:pPr>
              <w:spacing w:after="0" w:line="240" w:lineRule="auto"/>
            </w:pPr>
            <w:r>
              <w:rPr>
                <w:sz w:val="16"/>
              </w:rPr>
            </w:r>
            <w:r>
              <w:rPr>
                <w:rFonts w:ascii="Aptos" w:hAnsi="Aptos" w:eastAsia="Aptos"/>
                <w:b w:val="0"/>
                <w:sz w:val="16"/>
              </w:rPr>
              <w:t>Whether the threat target was worker plus product rather than product alone.</w:t>
            </w:r>
          </w:p>
        </w:tc>
      </w:tr>
      <w:tr>
        <w:tc>
          <w:tcPr>
            <w:tcW w:type="dxa" w:w="3456"/>
            <w:vAlign w:val="top"/>
          </w:tcPr>
          <w:p>
            <w:pPr>
              <w:spacing w:after="0" w:line="240" w:lineRule="auto"/>
            </w:pPr>
            <w:r>
              <w:rPr>
                <w:sz w:val="16"/>
              </w:rPr>
            </w:r>
            <w:r>
              <w:rPr>
                <w:rFonts w:ascii="Aptos" w:hAnsi="Aptos" w:eastAsia="Aptos"/>
                <w:b w:val="0"/>
                <w:sz w:val="16"/>
              </w:rPr>
              <w:t>Copied visible system</w:t>
            </w:r>
          </w:p>
        </w:tc>
        <w:tc>
          <w:tcPr>
            <w:tcW w:type="dxa" w:w="3456"/>
            <w:vAlign w:val="top"/>
          </w:tcPr>
          <w:p>
            <w:pPr>
              <w:spacing w:after="0" w:line="240" w:lineRule="auto"/>
            </w:pPr>
            <w:r>
              <w:rPr>
                <w:sz w:val="16"/>
              </w:rPr>
            </w:r>
            <w:r>
              <w:rPr>
                <w:rFonts w:ascii="Aptos" w:hAnsi="Aptos" w:eastAsia="Aptos"/>
                <w:b w:val="0"/>
                <w:sz w:val="16"/>
              </w:rPr>
              <w:t>Repeated T-pillar form, stone-person focus, animal threat imagery, gathering recurrence, and regional echo around protected food work.</w:t>
            </w:r>
          </w:p>
        </w:tc>
        <w:tc>
          <w:tcPr>
            <w:tcW w:type="dxa" w:w="3456"/>
            <w:vAlign w:val="top"/>
          </w:tcPr>
          <w:p>
            <w:pPr>
              <w:spacing w:after="0" w:line="240" w:lineRule="auto"/>
            </w:pPr>
            <w:r>
              <w:rPr>
                <w:sz w:val="16"/>
              </w:rPr>
            </w:r>
            <w:r>
              <w:rPr>
                <w:rFonts w:ascii="Aptos" w:hAnsi="Aptos" w:eastAsia="Aptos"/>
                <w:b w:val="0"/>
                <w:sz w:val="16"/>
              </w:rPr>
              <w:t>Whether hard chronic resistance became materially legible through repetition and failed testing.</w:t>
            </w:r>
          </w:p>
        </w:tc>
      </w:tr>
      <w:tr>
        <w:tc>
          <w:tcPr>
            <w:tcW w:type="dxa" w:w="3456"/>
            <w:vAlign w:val="top"/>
          </w:tcPr>
          <w:p>
            <w:pPr>
              <w:spacing w:after="0" w:line="240" w:lineRule="auto"/>
            </w:pPr>
            <w:r>
              <w:rPr>
                <w:sz w:val="16"/>
              </w:rPr>
            </w:r>
            <w:r>
              <w:rPr>
                <w:rFonts w:ascii="Aptos" w:hAnsi="Aptos" w:eastAsia="Aptos"/>
                <w:b w:val="0"/>
                <w:sz w:val="16"/>
              </w:rPr>
              <w:t>Feeder landscape</w:t>
            </w:r>
          </w:p>
        </w:tc>
        <w:tc>
          <w:tcPr>
            <w:tcW w:type="dxa" w:w="3456"/>
            <w:vAlign w:val="top"/>
          </w:tcPr>
          <w:p>
            <w:pPr>
              <w:spacing w:after="0" w:line="240" w:lineRule="auto"/>
            </w:pPr>
            <w:r>
              <w:rPr>
                <w:sz w:val="16"/>
              </w:rPr>
            </w:r>
            <w:r>
              <w:rPr>
                <w:rFonts w:ascii="Aptos" w:hAnsi="Aptos" w:eastAsia="Aptos"/>
                <w:b w:val="0"/>
                <w:sz w:val="16"/>
              </w:rPr>
              <w:t>Small processing stations, caches, minor stores, seasonal camps, damaged bins, moved grinding kit, burned or abandoned food-working zones.</w:t>
            </w:r>
          </w:p>
        </w:tc>
        <w:tc>
          <w:tcPr>
            <w:tcW w:type="dxa" w:w="3456"/>
            <w:vAlign w:val="top"/>
          </w:tcPr>
          <w:p>
            <w:pPr>
              <w:spacing w:after="0" w:line="240" w:lineRule="auto"/>
            </w:pPr>
            <w:r>
              <w:rPr>
                <w:sz w:val="16"/>
              </w:rPr>
            </w:r>
            <w:r>
              <w:rPr>
                <w:rFonts w:ascii="Aptos" w:hAnsi="Aptos" w:eastAsia="Aptos"/>
                <w:b w:val="0"/>
                <w:sz w:val="16"/>
              </w:rPr>
              <w:t>Whether the pressure that produced the protected node appears outside the monumental core.</w:t>
            </w:r>
          </w:p>
        </w:tc>
      </w:tr>
      <w:tr>
        <w:tc>
          <w:tcPr>
            <w:tcW w:type="dxa" w:w="3456"/>
            <w:vAlign w:val="top"/>
          </w:tcPr>
          <w:p>
            <w:pPr>
              <w:spacing w:after="0" w:line="240" w:lineRule="auto"/>
            </w:pPr>
            <w:r>
              <w:rPr>
                <w:sz w:val="16"/>
              </w:rPr>
            </w:r>
            <w:r>
              <w:rPr>
                <w:rFonts w:ascii="Aptos" w:hAnsi="Aptos" w:eastAsia="Aptos"/>
                <w:b w:val="0"/>
                <w:sz w:val="16"/>
              </w:rPr>
              <w:t>Energy subtraction and hungry-person-days</w:t>
            </w:r>
          </w:p>
        </w:tc>
        <w:tc>
          <w:tcPr>
            <w:tcW w:type="dxa" w:w="3456"/>
            <w:vAlign w:val="top"/>
          </w:tcPr>
          <w:p>
            <w:pPr>
              <w:spacing w:after="0" w:line="240" w:lineRule="auto"/>
            </w:pPr>
            <w:r>
              <w:rPr>
                <w:sz w:val="16"/>
              </w:rPr>
            </w:r>
            <w:r>
              <w:rPr>
                <w:rFonts w:ascii="Aptos" w:hAnsi="Aptos" w:eastAsia="Aptos"/>
                <w:b w:val="0"/>
                <w:sz w:val="16"/>
              </w:rPr>
              <w:t>Estimate calorie/person-day equivalents from cereal stands, possible storage volume, processing intensity, seasonal gap, and walking catchment.</w:t>
            </w:r>
          </w:p>
        </w:tc>
        <w:tc>
          <w:tcPr>
            <w:tcW w:type="dxa" w:w="3456"/>
            <w:vAlign w:val="top"/>
          </w:tcPr>
          <w:p>
            <w:pPr>
              <w:spacing w:after="0" w:line="240" w:lineRule="auto"/>
            </w:pPr>
            <w:r>
              <w:rPr>
                <w:sz w:val="16"/>
              </w:rPr>
            </w:r>
            <w:r>
              <w:rPr>
                <w:rFonts w:ascii="Aptos" w:hAnsi="Aptos" w:eastAsia="Aptos"/>
                <w:b w:val="0"/>
                <w:sz w:val="16"/>
              </w:rPr>
              <w:t>Whether modest storage could shift winter margins enough to produce encounter pressure.</w:t>
            </w:r>
          </w:p>
        </w:tc>
      </w:tr>
      <w:tr>
        <w:tc>
          <w:tcPr>
            <w:tcW w:type="dxa" w:w="3456"/>
            <w:vAlign w:val="top"/>
          </w:tcPr>
          <w:p>
            <w:pPr>
              <w:spacing w:after="0" w:line="240" w:lineRule="auto"/>
            </w:pPr>
            <w:r>
              <w:rPr>
                <w:sz w:val="16"/>
              </w:rPr>
            </w:r>
            <w:r>
              <w:rPr>
                <w:rFonts w:ascii="Aptos" w:hAnsi="Aptos" w:eastAsia="Aptos"/>
                <w:b w:val="0"/>
                <w:sz w:val="16"/>
              </w:rPr>
              <w:t>Waste, midden, and infill mechanics</w:t>
            </w:r>
          </w:p>
        </w:tc>
        <w:tc>
          <w:tcPr>
            <w:tcW w:type="dxa" w:w="3456"/>
            <w:vAlign w:val="top"/>
          </w:tcPr>
          <w:p>
            <w:pPr>
              <w:spacing w:after="0" w:line="240" w:lineRule="auto"/>
            </w:pPr>
            <w:r>
              <w:rPr>
                <w:sz w:val="16"/>
              </w:rPr>
            </w:r>
            <w:r>
              <w:rPr>
                <w:rFonts w:ascii="Aptos" w:hAnsi="Aptos" w:eastAsia="Aptos"/>
                <w:b w:val="0"/>
                <w:sz w:val="16"/>
              </w:rPr>
              <w:t>Map fill composition, refuse concentration, scavenger marks, trampling, old-floor retirement, rubble movement, and traffic reshaping.</w:t>
            </w:r>
          </w:p>
        </w:tc>
        <w:tc>
          <w:tcPr>
            <w:tcW w:type="dxa" w:w="3456"/>
            <w:vAlign w:val="top"/>
          </w:tcPr>
          <w:p>
            <w:pPr>
              <w:spacing w:after="0" w:line="240" w:lineRule="auto"/>
            </w:pPr>
            <w:r>
              <w:rPr>
                <w:sz w:val="16"/>
              </w:rPr>
            </w:r>
            <w:r>
              <w:rPr>
                <w:rFonts w:ascii="Aptos" w:hAnsi="Aptos" w:eastAsia="Aptos"/>
                <w:b w:val="0"/>
                <w:sz w:val="16"/>
              </w:rPr>
              <w:t>Whether deliberate filling also served ordinary aggregation management alongside ritual closure.</w:t>
            </w:r>
          </w:p>
        </w:tc>
      </w:tr>
      <w:tr>
        <w:tc>
          <w:tcPr>
            <w:tcW w:type="dxa" w:w="3456"/>
          </w:tcPr>
          <w:p>
            <w:r>
              <w:rPr>
                <w:sz w:val="16"/>
              </w:rPr>
              <w:t>Return-account feedback</w:t>
            </w:r>
          </w:p>
        </w:tc>
        <w:tc>
          <w:tcPr>
            <w:tcW w:type="dxa" w:w="3456"/>
          </w:tcPr>
          <w:p>
            <w:r>
              <w:rPr>
                <w:sz w:val="16"/>
              </w:rPr>
              <w:t>Repeatedly disturbed caches, lost or moved tools, injured or missing workers, burned perishable shelters, route avoidance, and clustered complaint-producing events around feeder routes.</w:t>
            </w:r>
          </w:p>
        </w:tc>
        <w:tc>
          <w:tcPr>
            <w:tcW w:type="dxa" w:w="3456"/>
          </w:tcPr>
          <w:p>
            <w:r>
              <w:rPr>
                <w:sz w:val="16"/>
              </w:rPr>
              <w:t>Whether dispersed outer-field losses plausibly fed aggregation, threshold conduct, and movement toward protected nodes.</w:t>
            </w:r>
          </w:p>
        </w:tc>
      </w:tr>
    </w:tbl>
    <w:p/>
    <w:p>
      <w:pPr>
        <w:pStyle w:val="Heading1"/>
      </w:pPr>
      <w:r>
        <w:t>13. Evidence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EDEDED"/>
          </w:tcPr>
          <w:p>
            <w:pPr>
              <w:spacing w:after="0" w:line="240" w:lineRule="auto"/>
            </w:pPr>
            <w:r>
              <w:rPr>
                <w:sz w:val="16"/>
              </w:rPr>
            </w:r>
            <w:r>
              <w:rPr>
                <w:rFonts w:ascii="Aptos" w:hAnsi="Aptos" w:eastAsia="Aptos"/>
                <w:b/>
                <w:sz w:val="16"/>
              </w:rPr>
              <w:t>Strand</w:t>
            </w:r>
          </w:p>
        </w:tc>
        <w:tc>
          <w:tcPr>
            <w:tcW w:type="dxa" w:w="2592"/>
            <w:vAlign w:val="top"/>
            <w:shd w:fill="EDEDED"/>
          </w:tcPr>
          <w:p>
            <w:pPr>
              <w:spacing w:after="0" w:line="240" w:lineRule="auto"/>
            </w:pPr>
            <w:r>
              <w:rPr>
                <w:sz w:val="16"/>
              </w:rPr>
            </w:r>
            <w:r>
              <w:rPr>
                <w:rFonts w:ascii="Aptos" w:hAnsi="Aptos" w:eastAsia="Aptos"/>
                <w:b/>
                <w:sz w:val="16"/>
              </w:rPr>
              <w:t>Anchor</w:t>
            </w:r>
          </w:p>
        </w:tc>
        <w:tc>
          <w:tcPr>
            <w:tcW w:type="dxa" w:w="2592"/>
            <w:vAlign w:val="top"/>
            <w:shd w:fill="EDEDED"/>
          </w:tcPr>
          <w:p>
            <w:pPr>
              <w:spacing w:after="0" w:line="240" w:lineRule="auto"/>
            </w:pPr>
            <w:r>
              <w:rPr>
                <w:sz w:val="16"/>
              </w:rPr>
            </w:r>
            <w:r>
              <w:rPr>
                <w:rFonts w:ascii="Aptos" w:hAnsi="Aptos" w:eastAsia="Aptos"/>
                <w:b/>
                <w:sz w:val="16"/>
              </w:rPr>
              <w:t>Supports</w:t>
            </w:r>
          </w:p>
        </w:tc>
        <w:tc>
          <w:tcPr>
            <w:tcW w:type="dxa" w:w="2592"/>
            <w:vAlign w:val="top"/>
            <w:shd w:fill="EDEDED"/>
          </w:tcPr>
          <w:p>
            <w:pPr>
              <w:spacing w:after="0" w:line="240" w:lineRule="auto"/>
            </w:pPr>
            <w:r>
              <w:rPr>
                <w:sz w:val="16"/>
              </w:rPr>
            </w:r>
            <w:r>
              <w:rPr>
                <w:rFonts w:ascii="Aptos" w:hAnsi="Aptos" w:eastAsia="Aptos"/>
                <w:b/>
                <w:sz w:val="16"/>
              </w:rPr>
              <w:t>Limit</w:t>
            </w:r>
          </w:p>
        </w:tc>
      </w:tr>
      <w:tr>
        <w:tc>
          <w:tcPr>
            <w:tcW w:type="dxa" w:w="2592"/>
            <w:vAlign w:val="top"/>
          </w:tcPr>
          <w:p>
            <w:pPr>
              <w:spacing w:after="0" w:line="240" w:lineRule="auto"/>
            </w:pPr>
            <w:r>
              <w:rPr>
                <w:sz w:val="16"/>
              </w:rPr>
            </w:r>
            <w:r>
              <w:rPr>
                <w:rFonts w:ascii="Aptos" w:hAnsi="Aptos" w:eastAsia="Aptos"/>
                <w:b w:val="0"/>
                <w:sz w:val="16"/>
              </w:rPr>
              <w:t>Architecture</w:t>
            </w:r>
          </w:p>
        </w:tc>
        <w:tc>
          <w:tcPr>
            <w:tcW w:type="dxa" w:w="2592"/>
            <w:vAlign w:val="top"/>
          </w:tcPr>
          <w:p>
            <w:pPr>
              <w:spacing w:after="0" w:line="240" w:lineRule="auto"/>
            </w:pPr>
            <w:r>
              <w:rPr>
                <w:sz w:val="16"/>
              </w:rPr>
            </w:r>
            <w:r>
              <w:rPr>
                <w:rFonts w:ascii="Aptos" w:hAnsi="Aptos" w:eastAsia="Aptos"/>
                <w:b w:val="0"/>
                <w:sz w:val="16"/>
              </w:rPr>
              <w:t>Round-oval buildings c. 10-20 m inner diameter; central pillars up to 5.5 m; benches and wall-set pillars. [1], [2]</w:t>
            </w:r>
          </w:p>
        </w:tc>
        <w:tc>
          <w:tcPr>
            <w:tcW w:type="dxa" w:w="2592"/>
            <w:vAlign w:val="top"/>
          </w:tcPr>
          <w:p>
            <w:pPr>
              <w:spacing w:after="0" w:line="240" w:lineRule="auto"/>
            </w:pPr>
            <w:r>
              <w:rPr>
                <w:sz w:val="16"/>
              </w:rPr>
            </w:r>
            <w:r>
              <w:rPr>
                <w:rFonts w:ascii="Aptos" w:hAnsi="Aptos" w:eastAsia="Aptos"/>
                <w:b w:val="0"/>
                <w:sz w:val="16"/>
              </w:rPr>
              <w:t>Gathering, visibility, route shaping, possible timber staging.</w:t>
            </w:r>
          </w:p>
        </w:tc>
        <w:tc>
          <w:tcPr>
            <w:tcW w:type="dxa" w:w="2592"/>
            <w:vAlign w:val="top"/>
          </w:tcPr>
          <w:p>
            <w:pPr>
              <w:spacing w:after="0" w:line="240" w:lineRule="auto"/>
            </w:pPr>
            <w:r>
              <w:rPr>
                <w:sz w:val="16"/>
              </w:rPr>
            </w:r>
            <w:r>
              <w:rPr>
                <w:rFonts w:ascii="Aptos" w:hAnsi="Aptos" w:eastAsia="Aptos"/>
                <w:b w:val="0"/>
                <w:sz w:val="16"/>
              </w:rPr>
              <w:t>Does not prove tactical use.</w:t>
            </w:r>
          </w:p>
        </w:tc>
      </w:tr>
      <w:tr>
        <w:tc>
          <w:tcPr>
            <w:tcW w:type="dxa" w:w="2592"/>
            <w:vAlign w:val="top"/>
          </w:tcPr>
          <w:p>
            <w:pPr>
              <w:spacing w:after="0" w:line="240" w:lineRule="auto"/>
            </w:pPr>
            <w:r>
              <w:rPr>
                <w:sz w:val="16"/>
              </w:rPr>
            </w:r>
            <w:r>
              <w:rPr>
                <w:rFonts w:ascii="Aptos" w:hAnsi="Aptos" w:eastAsia="Aptos"/>
                <w:b w:val="0"/>
                <w:sz w:val="16"/>
              </w:rPr>
              <w:t>Food tools</w:t>
            </w:r>
          </w:p>
        </w:tc>
        <w:tc>
          <w:tcPr>
            <w:tcW w:type="dxa" w:w="2592"/>
            <w:vAlign w:val="top"/>
          </w:tcPr>
          <w:p>
            <w:pPr>
              <w:spacing w:after="0" w:line="240" w:lineRule="auto"/>
            </w:pPr>
            <w:r>
              <w:rPr>
                <w:sz w:val="16"/>
              </w:rPr>
            </w:r>
            <w:r>
              <w:rPr>
                <w:rFonts w:ascii="Aptos" w:hAnsi="Aptos" w:eastAsia="Aptos"/>
                <w:b w:val="0"/>
                <w:sz w:val="16"/>
              </w:rPr>
              <w:t>More than 7000 grinding and pounding artifacts, mostly cereal-related. [2]</w:t>
            </w:r>
          </w:p>
        </w:tc>
        <w:tc>
          <w:tcPr>
            <w:tcW w:type="dxa" w:w="2592"/>
            <w:vAlign w:val="top"/>
          </w:tcPr>
          <w:p>
            <w:pPr>
              <w:spacing w:after="0" w:line="240" w:lineRule="auto"/>
            </w:pPr>
            <w:r>
              <w:rPr>
                <w:sz w:val="16"/>
              </w:rPr>
            </w:r>
            <w:r>
              <w:rPr>
                <w:rFonts w:ascii="Aptos" w:hAnsi="Aptos" w:eastAsia="Aptos"/>
                <w:b w:val="0"/>
                <w:sz w:val="16"/>
              </w:rPr>
              <w:t>Feasting, labour concentration, resource broadcast, and protected processing hypothesis.</w:t>
            </w:r>
          </w:p>
        </w:tc>
        <w:tc>
          <w:tcPr>
            <w:tcW w:type="dxa" w:w="2592"/>
            <w:vAlign w:val="top"/>
          </w:tcPr>
          <w:p>
            <w:pPr>
              <w:spacing w:after="0" w:line="240" w:lineRule="auto"/>
            </w:pPr>
            <w:r>
              <w:rPr>
                <w:sz w:val="16"/>
              </w:rPr>
            </w:r>
            <w:r>
              <w:rPr>
                <w:rFonts w:ascii="Aptos" w:hAnsi="Aptos" w:eastAsia="Aptos"/>
                <w:b w:val="0"/>
                <w:sz w:val="16"/>
              </w:rPr>
              <w:t>Large stores not identified in that study.</w:t>
            </w:r>
          </w:p>
        </w:tc>
      </w:tr>
      <w:tr>
        <w:tc>
          <w:tcPr>
            <w:tcW w:type="dxa" w:w="2592"/>
            <w:vAlign w:val="top"/>
          </w:tcPr>
          <w:p>
            <w:pPr>
              <w:spacing w:after="0" w:line="240" w:lineRule="auto"/>
            </w:pPr>
            <w:r>
              <w:rPr>
                <w:sz w:val="16"/>
              </w:rPr>
            </w:r>
            <w:r>
              <w:rPr>
                <w:rFonts w:ascii="Aptos" w:hAnsi="Aptos" w:eastAsia="Aptos"/>
                <w:b w:val="0"/>
                <w:sz w:val="16"/>
              </w:rPr>
              <w:t>Early Holocene setting</w:t>
            </w:r>
          </w:p>
        </w:tc>
        <w:tc>
          <w:tcPr>
            <w:tcW w:type="dxa" w:w="2592"/>
            <w:vAlign w:val="top"/>
          </w:tcPr>
          <w:p>
            <w:pPr>
              <w:spacing w:after="0" w:line="240" w:lineRule="auto"/>
            </w:pPr>
            <w:r>
              <w:rPr>
                <w:sz w:val="16"/>
              </w:rPr>
            </w:r>
            <w:r>
              <w:rPr>
                <w:rFonts w:ascii="Aptos" w:hAnsi="Aptos" w:eastAsia="Aptos"/>
                <w:b w:val="0"/>
                <w:sz w:val="16"/>
              </w:rPr>
              <w:t>Wetter-than-today steppe, wild cereals, game, and local water variation. [16]</w:t>
            </w:r>
          </w:p>
        </w:tc>
        <w:tc>
          <w:tcPr>
            <w:tcW w:type="dxa" w:w="2592"/>
            <w:vAlign w:val="top"/>
          </w:tcPr>
          <w:p>
            <w:pPr>
              <w:spacing w:after="0" w:line="240" w:lineRule="auto"/>
            </w:pPr>
            <w:r>
              <w:rPr>
                <w:sz w:val="16"/>
              </w:rPr>
            </w:r>
            <w:r>
              <w:rPr>
                <w:rFonts w:ascii="Aptos" w:hAnsi="Aptos" w:eastAsia="Aptos"/>
                <w:b w:val="0"/>
                <w:sz w:val="16"/>
              </w:rPr>
              <w:t>Raises carrying capacity and makes population/resource pressure plausible.</w:t>
            </w:r>
          </w:p>
        </w:tc>
        <w:tc>
          <w:tcPr>
            <w:tcW w:type="dxa" w:w="2592"/>
            <w:vAlign w:val="top"/>
          </w:tcPr>
          <w:p>
            <w:pPr>
              <w:spacing w:after="0" w:line="240" w:lineRule="auto"/>
            </w:pPr>
            <w:r>
              <w:rPr>
                <w:sz w:val="16"/>
              </w:rPr>
            </w:r>
            <w:r>
              <w:rPr>
                <w:rFonts w:ascii="Aptos" w:hAnsi="Aptos" w:eastAsia="Aptos"/>
                <w:b w:val="0"/>
                <w:sz w:val="16"/>
              </w:rPr>
              <w:t>Does not by itself prove conflict.</w:t>
            </w:r>
          </w:p>
        </w:tc>
      </w:tr>
      <w:tr>
        <w:tc>
          <w:tcPr>
            <w:tcW w:type="dxa" w:w="2592"/>
            <w:vAlign w:val="top"/>
          </w:tcPr>
          <w:p>
            <w:pPr>
              <w:spacing w:after="0" w:line="240" w:lineRule="auto"/>
            </w:pPr>
            <w:r>
              <w:rPr>
                <w:sz w:val="16"/>
              </w:rPr>
            </w:r>
            <w:r>
              <w:rPr>
                <w:rFonts w:ascii="Aptos" w:hAnsi="Aptos" w:eastAsia="Aptos"/>
                <w:b w:val="0"/>
                <w:sz w:val="16"/>
              </w:rPr>
              <w:t>Worker-risk landscape</w:t>
            </w:r>
          </w:p>
        </w:tc>
        <w:tc>
          <w:tcPr>
            <w:tcW w:type="dxa" w:w="2592"/>
            <w:vAlign w:val="top"/>
          </w:tcPr>
          <w:p>
            <w:pPr>
              <w:spacing w:after="0" w:line="240" w:lineRule="auto"/>
            </w:pPr>
            <w:r>
              <w:rPr>
                <w:sz w:val="16"/>
              </w:rPr>
            </w:r>
            <w:r>
              <w:rPr>
                <w:rFonts w:ascii="Aptos" w:hAnsi="Aptos" w:eastAsia="Aptos"/>
                <w:b w:val="0"/>
                <w:sz w:val="16"/>
              </w:rPr>
              <w:t>Predicted through feeder sites, routes, moved tools, damaged bins, and relocation patterns rather than current direct proof.</w:t>
            </w:r>
          </w:p>
        </w:tc>
        <w:tc>
          <w:tcPr>
            <w:tcW w:type="dxa" w:w="2592"/>
            <w:vAlign w:val="top"/>
          </w:tcPr>
          <w:p>
            <w:pPr>
              <w:spacing w:after="0" w:line="240" w:lineRule="auto"/>
            </w:pPr>
            <w:r>
              <w:rPr>
                <w:sz w:val="16"/>
              </w:rPr>
            </w:r>
            <w:r>
              <w:rPr>
                <w:rFonts w:ascii="Aptos" w:hAnsi="Aptos" w:eastAsia="Aptos"/>
                <w:b w:val="0"/>
                <w:sz w:val="16"/>
              </w:rPr>
              <w:t>Explains why processing might move inward toward watched communal nodes.</w:t>
            </w:r>
          </w:p>
        </w:tc>
        <w:tc>
          <w:tcPr>
            <w:tcW w:type="dxa" w:w="2592"/>
            <w:vAlign w:val="top"/>
          </w:tcPr>
          <w:p>
            <w:pPr>
              <w:spacing w:after="0" w:line="240" w:lineRule="auto"/>
            </w:pPr>
            <w:r>
              <w:rPr>
                <w:sz w:val="16"/>
              </w:rPr>
            </w:r>
            <w:r>
              <w:rPr>
                <w:rFonts w:ascii="Aptos" w:hAnsi="Aptos" w:eastAsia="Aptos"/>
                <w:b w:val="0"/>
                <w:sz w:val="16"/>
              </w:rPr>
              <w:t>Requires outward landscape data.</w:t>
            </w:r>
          </w:p>
        </w:tc>
      </w:tr>
      <w:tr>
        <w:tc>
          <w:tcPr>
            <w:tcW w:type="dxa" w:w="2592"/>
            <w:vAlign w:val="top"/>
          </w:tcPr>
          <w:p>
            <w:pPr>
              <w:spacing w:after="0" w:line="240" w:lineRule="auto"/>
            </w:pPr>
            <w:r>
              <w:rPr>
                <w:sz w:val="16"/>
              </w:rPr>
            </w:r>
            <w:r>
              <w:rPr>
                <w:rFonts w:ascii="Aptos" w:hAnsi="Aptos" w:eastAsia="Aptos"/>
                <w:b w:val="0"/>
                <w:sz w:val="16"/>
              </w:rPr>
              <w:t>Fauna and hunting</w:t>
            </w:r>
          </w:p>
        </w:tc>
        <w:tc>
          <w:tcPr>
            <w:tcW w:type="dxa" w:w="2592"/>
            <w:vAlign w:val="top"/>
          </w:tcPr>
          <w:p>
            <w:pPr>
              <w:spacing w:after="0" w:line="240" w:lineRule="auto"/>
            </w:pPr>
            <w:r>
              <w:rPr>
                <w:sz w:val="16"/>
              </w:rPr>
            </w:r>
            <w:r>
              <w:rPr>
                <w:rFonts w:ascii="Aptos" w:hAnsi="Aptos" w:eastAsia="Aptos"/>
                <w:b w:val="0"/>
                <w:sz w:val="16"/>
              </w:rPr>
              <w:t>Gazelle, aurochs, wild ass, boar, wild sheep/mouflon, fox; aurochs hunting lesion. [3], [4], [7], [8]</w:t>
            </w:r>
          </w:p>
        </w:tc>
        <w:tc>
          <w:tcPr>
            <w:tcW w:type="dxa" w:w="2592"/>
            <w:vAlign w:val="top"/>
          </w:tcPr>
          <w:p>
            <w:pPr>
              <w:spacing w:after="0" w:line="240" w:lineRule="auto"/>
            </w:pPr>
            <w:r>
              <w:rPr>
                <w:sz w:val="16"/>
              </w:rPr>
            </w:r>
            <w:r>
              <w:rPr>
                <w:rFonts w:ascii="Aptos" w:hAnsi="Aptos" w:eastAsia="Aptos"/>
                <w:b w:val="0"/>
                <w:sz w:val="16"/>
              </w:rPr>
              <w:t>Hunt and feast competence; dangerous body handling.</w:t>
            </w:r>
          </w:p>
        </w:tc>
        <w:tc>
          <w:tcPr>
            <w:tcW w:type="dxa" w:w="2592"/>
            <w:vAlign w:val="top"/>
          </w:tcPr>
          <w:p>
            <w:pPr>
              <w:spacing w:after="0" w:line="240" w:lineRule="auto"/>
            </w:pPr>
            <w:r>
              <w:rPr>
                <w:sz w:val="16"/>
              </w:rPr>
            </w:r>
            <w:r>
              <w:rPr>
                <w:rFonts w:ascii="Aptos" w:hAnsi="Aptos" w:eastAsia="Aptos"/>
                <w:b w:val="0"/>
                <w:sz w:val="16"/>
              </w:rPr>
              <w:t>Hunt evidence, not raid evidence.</w:t>
            </w:r>
          </w:p>
        </w:tc>
      </w:tr>
      <w:tr>
        <w:tc>
          <w:tcPr>
            <w:tcW w:type="dxa" w:w="2592"/>
            <w:vAlign w:val="top"/>
          </w:tcPr>
          <w:p>
            <w:pPr>
              <w:spacing w:after="0" w:line="240" w:lineRule="auto"/>
            </w:pPr>
            <w:r>
              <w:rPr>
                <w:sz w:val="16"/>
              </w:rPr>
            </w:r>
            <w:r>
              <w:rPr>
                <w:rFonts w:ascii="Aptos" w:hAnsi="Aptos" w:eastAsia="Aptos"/>
                <w:b w:val="0"/>
                <w:sz w:val="16"/>
              </w:rPr>
              <w:t>Human remains</w:t>
            </w:r>
          </w:p>
        </w:tc>
        <w:tc>
          <w:tcPr>
            <w:tcW w:type="dxa" w:w="2592"/>
            <w:vAlign w:val="top"/>
          </w:tcPr>
          <w:p>
            <w:pPr>
              <w:spacing w:after="0" w:line="240" w:lineRule="auto"/>
            </w:pPr>
            <w:r>
              <w:rPr>
                <w:sz w:val="16"/>
              </w:rPr>
            </w:r>
            <w:r>
              <w:rPr>
                <w:rFonts w:ascii="Aptos" w:hAnsi="Aptos" w:eastAsia="Aptos"/>
                <w:b w:val="0"/>
                <w:sz w:val="16"/>
              </w:rPr>
              <w:t>Modified skull fragments and scattered human bone in fill contexts. [5], [6]</w:t>
            </w:r>
          </w:p>
        </w:tc>
        <w:tc>
          <w:tcPr>
            <w:tcW w:type="dxa" w:w="2592"/>
            <w:vAlign w:val="top"/>
          </w:tcPr>
          <w:p>
            <w:pPr>
              <w:spacing w:after="0" w:line="240" w:lineRule="auto"/>
            </w:pPr>
            <w:r>
              <w:rPr>
                <w:sz w:val="16"/>
              </w:rPr>
            </w:r>
            <w:r>
              <w:rPr>
                <w:rFonts w:ascii="Aptos" w:hAnsi="Aptos" w:eastAsia="Aptos"/>
                <w:b w:val="0"/>
                <w:sz w:val="16"/>
              </w:rPr>
              <w:t>Death practice, memory, trace loss, mortuary ambiguity.</w:t>
            </w:r>
          </w:p>
        </w:tc>
        <w:tc>
          <w:tcPr>
            <w:tcW w:type="dxa" w:w="2592"/>
            <w:vAlign w:val="top"/>
          </w:tcPr>
          <w:p>
            <w:pPr>
              <w:spacing w:after="0" w:line="240" w:lineRule="auto"/>
            </w:pPr>
            <w:r>
              <w:rPr>
                <w:sz w:val="16"/>
              </w:rPr>
            </w:r>
            <w:r>
              <w:rPr>
                <w:rFonts w:ascii="Aptos" w:hAnsi="Aptos" w:eastAsia="Aptos"/>
                <w:b w:val="0"/>
                <w:sz w:val="16"/>
              </w:rPr>
              <w:t>Does not prove raid, siege, or conspecific consumption.</w:t>
            </w:r>
          </w:p>
        </w:tc>
      </w:tr>
      <w:tr>
        <w:tc>
          <w:tcPr>
            <w:tcW w:type="dxa" w:w="2592"/>
            <w:vAlign w:val="top"/>
          </w:tcPr>
          <w:p>
            <w:pPr>
              <w:spacing w:after="0" w:line="240" w:lineRule="auto"/>
            </w:pPr>
            <w:r>
              <w:rPr>
                <w:sz w:val="16"/>
              </w:rPr>
            </w:r>
            <w:r>
              <w:rPr>
                <w:rFonts w:ascii="Aptos" w:hAnsi="Aptos" w:eastAsia="Aptos"/>
                <w:b w:val="0"/>
                <w:sz w:val="16"/>
              </w:rPr>
              <w:t>Visible resistance</w:t>
            </w:r>
          </w:p>
        </w:tc>
        <w:tc>
          <w:tcPr>
            <w:tcW w:type="dxa" w:w="2592"/>
            <w:vAlign w:val="top"/>
          </w:tcPr>
          <w:p>
            <w:pPr>
              <w:spacing w:after="0" w:line="240" w:lineRule="auto"/>
            </w:pPr>
            <w:r>
              <w:rPr>
                <w:sz w:val="16"/>
              </w:rPr>
            </w:r>
            <w:r>
              <w:rPr>
                <w:rFonts w:ascii="Aptos" w:hAnsi="Aptos" w:eastAsia="Aptos"/>
                <w:b w:val="0"/>
                <w:sz w:val="16"/>
              </w:rPr>
              <w:t>T-pillars, anthropomorphic features, animal imagery, and regional T-shaped pillar distribution. [11], [12]</w:t>
            </w:r>
          </w:p>
        </w:tc>
        <w:tc>
          <w:tcPr>
            <w:tcW w:type="dxa" w:w="2592"/>
            <w:vAlign w:val="top"/>
          </w:tcPr>
          <w:p>
            <w:pPr>
              <w:spacing w:after="0" w:line="240" w:lineRule="auto"/>
            </w:pPr>
            <w:r>
              <w:rPr>
                <w:sz w:val="16"/>
              </w:rPr>
            </w:r>
            <w:r>
              <w:rPr>
                <w:rFonts w:ascii="Aptos" w:hAnsi="Aptos" w:eastAsia="Aptos"/>
                <w:b w:val="0"/>
                <w:sz w:val="16"/>
              </w:rPr>
              <w:t>Durable social persons, memory, coalition reach, and copied form with learned cost.</w:t>
            </w:r>
          </w:p>
        </w:tc>
        <w:tc>
          <w:tcPr>
            <w:tcW w:type="dxa" w:w="2592"/>
            <w:vAlign w:val="top"/>
          </w:tcPr>
          <w:p>
            <w:pPr>
              <w:spacing w:after="0" w:line="240" w:lineRule="auto"/>
            </w:pPr>
            <w:r>
              <w:rPr>
                <w:sz w:val="16"/>
              </w:rPr>
            </w:r>
            <w:r>
              <w:rPr>
                <w:rFonts w:ascii="Aptos" w:hAnsi="Aptos" w:eastAsia="Aptos"/>
                <w:b w:val="0"/>
                <w:sz w:val="16"/>
              </w:rPr>
              <w:t>Does not prove formal law, fixed enforcement, or designed threat authorship.</w:t>
            </w:r>
          </w:p>
        </w:tc>
      </w:tr>
      <w:tr>
        <w:tc>
          <w:tcPr>
            <w:tcW w:type="dxa" w:w="2592"/>
            <w:vAlign w:val="top"/>
          </w:tcPr>
          <w:p>
            <w:pPr>
              <w:spacing w:after="0" w:line="240" w:lineRule="auto"/>
            </w:pPr>
            <w:r>
              <w:rPr>
                <w:sz w:val="16"/>
              </w:rPr>
            </w:r>
            <w:r>
              <w:rPr>
                <w:rFonts w:ascii="Aptos" w:hAnsi="Aptos" w:eastAsia="Aptos"/>
                <w:b w:val="0"/>
                <w:sz w:val="16"/>
              </w:rPr>
              <w:t>Conflict background</w:t>
            </w:r>
          </w:p>
        </w:tc>
        <w:tc>
          <w:tcPr>
            <w:tcW w:type="dxa" w:w="2592"/>
            <w:vAlign w:val="top"/>
          </w:tcPr>
          <w:p>
            <w:pPr>
              <w:spacing w:after="0" w:line="240" w:lineRule="auto"/>
            </w:pPr>
            <w:r>
              <w:rPr>
                <w:sz w:val="16"/>
              </w:rPr>
            </w:r>
            <w:r>
              <w:rPr>
                <w:rFonts w:ascii="Aptos" w:hAnsi="Aptos" w:eastAsia="Aptos"/>
                <w:b w:val="0"/>
                <w:sz w:val="16"/>
              </w:rPr>
              <w:t>Kortik Tepe discussion notes interpersonal violence and conflict mitigation, with limited intergroup proxies. [9]</w:t>
            </w:r>
          </w:p>
        </w:tc>
        <w:tc>
          <w:tcPr>
            <w:tcW w:type="dxa" w:w="2592"/>
            <w:vAlign w:val="top"/>
          </w:tcPr>
          <w:p>
            <w:pPr>
              <w:spacing w:after="0" w:line="240" w:lineRule="auto"/>
            </w:pPr>
            <w:r>
              <w:rPr>
                <w:sz w:val="16"/>
              </w:rPr>
            </w:r>
            <w:r>
              <w:rPr>
                <w:rFonts w:ascii="Aptos" w:hAnsi="Aptos" w:eastAsia="Aptos"/>
                <w:b w:val="0"/>
                <w:sz w:val="16"/>
              </w:rPr>
              <w:t>Regional social heat and need for mitigation.</w:t>
            </w:r>
          </w:p>
        </w:tc>
        <w:tc>
          <w:tcPr>
            <w:tcW w:type="dxa" w:w="2592"/>
            <w:vAlign w:val="top"/>
          </w:tcPr>
          <w:p>
            <w:pPr>
              <w:spacing w:after="0" w:line="240" w:lineRule="auto"/>
            </w:pPr>
            <w:r>
              <w:rPr>
                <w:sz w:val="16"/>
              </w:rPr>
            </w:r>
            <w:r>
              <w:rPr>
                <w:rFonts w:ascii="Aptos" w:hAnsi="Aptos" w:eastAsia="Aptos"/>
                <w:b w:val="0"/>
                <w:sz w:val="16"/>
              </w:rPr>
              <w:t>Indirect comparison only.</w:t>
            </w:r>
          </w:p>
        </w:tc>
      </w:tr>
      <w:tr>
        <w:tc>
          <w:tcPr>
            <w:tcW w:type="dxa" w:w="2592"/>
            <w:vAlign w:val="top"/>
          </w:tcPr>
          <w:p>
            <w:pPr>
              <w:spacing w:after="0" w:line="240" w:lineRule="auto"/>
            </w:pPr>
            <w:r>
              <w:rPr>
                <w:sz w:val="16"/>
              </w:rPr>
            </w:r>
            <w:r>
              <w:rPr>
                <w:rFonts w:ascii="Aptos" w:hAnsi="Aptos" w:eastAsia="Aptos"/>
                <w:b w:val="0"/>
                <w:sz w:val="16"/>
              </w:rPr>
              <w:t>Stratigraphy and fill</w:t>
            </w:r>
          </w:p>
        </w:tc>
        <w:tc>
          <w:tcPr>
            <w:tcW w:type="dxa" w:w="2592"/>
            <w:vAlign w:val="top"/>
          </w:tcPr>
          <w:p>
            <w:pPr>
              <w:spacing w:after="0" w:line="240" w:lineRule="auto"/>
            </w:pPr>
            <w:r>
              <w:rPr>
                <w:sz w:val="16"/>
              </w:rPr>
            </w:r>
            <w:r>
              <w:rPr>
                <w:rFonts w:ascii="Aptos" w:hAnsi="Aptos" w:eastAsia="Aptos"/>
                <w:b w:val="0"/>
                <w:sz w:val="16"/>
              </w:rPr>
              <w:t>Built-on-rock work stresses complex mound formation, slope processes, repairs, and revision of older fill assumptions. [10]</w:t>
            </w:r>
          </w:p>
        </w:tc>
        <w:tc>
          <w:tcPr>
            <w:tcW w:type="dxa" w:w="2592"/>
            <w:vAlign w:val="top"/>
          </w:tcPr>
          <w:p>
            <w:pPr>
              <w:spacing w:after="0" w:line="240" w:lineRule="auto"/>
            </w:pPr>
            <w:r>
              <w:rPr>
                <w:sz w:val="16"/>
              </w:rPr>
            </w:r>
            <w:r>
              <w:rPr>
                <w:rFonts w:ascii="Aptos" w:hAnsi="Aptos" w:eastAsia="Aptos"/>
                <w:b w:val="0"/>
                <w:sz w:val="16"/>
              </w:rPr>
              <w:t>Need for sequence, route, and repair testing.</w:t>
            </w:r>
          </w:p>
        </w:tc>
        <w:tc>
          <w:tcPr>
            <w:tcW w:type="dxa" w:w="2592"/>
            <w:vAlign w:val="top"/>
          </w:tcPr>
          <w:p>
            <w:pPr>
              <w:spacing w:after="0" w:line="240" w:lineRule="auto"/>
            </w:pPr>
            <w:r>
              <w:rPr>
                <w:sz w:val="16"/>
              </w:rPr>
            </w:r>
            <w:r>
              <w:rPr>
                <w:rFonts w:ascii="Aptos" w:hAnsi="Aptos" w:eastAsia="Aptos"/>
                <w:b w:val="0"/>
                <w:sz w:val="16"/>
              </w:rPr>
              <w:t>Moved material can mimic tactical traces.</w:t>
            </w:r>
          </w:p>
        </w:tc>
      </w:tr>
      <w:tr>
        <w:tc>
          <w:tcPr>
            <w:tcW w:type="dxa" w:w="2592"/>
            <w:vAlign w:val="top"/>
          </w:tcPr>
          <w:p>
            <w:pPr>
              <w:spacing w:after="0" w:line="240" w:lineRule="auto"/>
            </w:pPr>
            <w:r>
              <w:rPr>
                <w:sz w:val="16"/>
              </w:rPr>
            </w:r>
            <w:r>
              <w:rPr>
                <w:rFonts w:ascii="Aptos" w:hAnsi="Aptos" w:eastAsia="Aptos"/>
                <w:b w:val="0"/>
                <w:sz w:val="16"/>
              </w:rPr>
              <w:t>Waste and taphonomy</w:t>
            </w:r>
          </w:p>
        </w:tc>
        <w:tc>
          <w:tcPr>
            <w:tcW w:type="dxa" w:w="2592"/>
            <w:vAlign w:val="top"/>
          </w:tcPr>
          <w:p>
            <w:pPr>
              <w:spacing w:after="0" w:line="240" w:lineRule="auto"/>
            </w:pPr>
            <w:r>
              <w:rPr>
                <w:sz w:val="16"/>
              </w:rPr>
            </w:r>
            <w:r>
              <w:rPr>
                <w:rFonts w:ascii="Aptos" w:hAnsi="Aptos" w:eastAsia="Aptos"/>
                <w:b w:val="0"/>
                <w:sz w:val="16"/>
              </w:rPr>
              <w:t>Aggregation can produce middens, fill movement, scavenger disturbance, trampling, and mixed deposits. [25-26]</w:t>
            </w:r>
          </w:p>
        </w:tc>
        <w:tc>
          <w:tcPr>
            <w:tcW w:type="dxa" w:w="2592"/>
            <w:vAlign w:val="top"/>
          </w:tcPr>
          <w:p>
            <w:pPr>
              <w:spacing w:after="0" w:line="240" w:lineRule="auto"/>
            </w:pPr>
            <w:r>
              <w:rPr>
                <w:sz w:val="16"/>
              </w:rPr>
            </w:r>
            <w:r>
              <w:rPr>
                <w:rFonts w:ascii="Aptos" w:hAnsi="Aptos" w:eastAsia="Aptos"/>
                <w:b w:val="0"/>
                <w:sz w:val="16"/>
              </w:rPr>
              <w:t>Explains why closure and infill can be practical, ritual, and formation-process events at once.</w:t>
            </w:r>
          </w:p>
        </w:tc>
        <w:tc>
          <w:tcPr>
            <w:tcW w:type="dxa" w:w="2592"/>
            <w:vAlign w:val="top"/>
          </w:tcPr>
          <w:p>
            <w:pPr>
              <w:spacing w:after="0" w:line="240" w:lineRule="auto"/>
            </w:pPr>
            <w:r>
              <w:rPr>
                <w:sz w:val="16"/>
              </w:rPr>
            </w:r>
            <w:r>
              <w:rPr>
                <w:rFonts w:ascii="Aptos" w:hAnsi="Aptos" w:eastAsia="Aptos"/>
                <w:b w:val="0"/>
                <w:sz w:val="16"/>
              </w:rPr>
              <w:t>Does not prove burial motive.</w:t>
            </w:r>
          </w:p>
        </w:tc>
      </w:tr>
      <w:tr>
        <w:tc>
          <w:tcPr>
            <w:tcW w:type="dxa" w:w="2592"/>
            <w:vAlign w:val="top"/>
          </w:tcPr>
          <w:p>
            <w:pPr>
              <w:spacing w:after="0" w:line="240" w:lineRule="auto"/>
            </w:pPr>
            <w:r>
              <w:rPr>
                <w:sz w:val="16"/>
              </w:rPr>
            </w:r>
            <w:r>
              <w:rPr>
                <w:rFonts w:ascii="Aptos" w:hAnsi="Aptos" w:eastAsia="Aptos"/>
                <w:b w:val="0"/>
                <w:sz w:val="16"/>
              </w:rPr>
              <w:t>Energy arithmetic</w:t>
            </w:r>
          </w:p>
        </w:tc>
        <w:tc>
          <w:tcPr>
            <w:tcW w:type="dxa" w:w="2592"/>
            <w:vAlign w:val="top"/>
          </w:tcPr>
          <w:p>
            <w:pPr>
              <w:spacing w:after="0" w:line="240" w:lineRule="auto"/>
            </w:pPr>
            <w:r>
              <w:rPr>
                <w:sz w:val="16"/>
              </w:rPr>
            </w:r>
            <w:r>
              <w:rPr>
                <w:rFonts w:ascii="Aptos" w:hAnsi="Aptos" w:eastAsia="Aptos"/>
                <w:b w:val="0"/>
                <w:sz w:val="16"/>
              </w:rPr>
              <w:t>Cereal density and kcal estimates, processing volume, and person-day scale checks.</w:t>
            </w:r>
          </w:p>
        </w:tc>
        <w:tc>
          <w:tcPr>
            <w:tcW w:type="dxa" w:w="2592"/>
            <w:vAlign w:val="top"/>
          </w:tcPr>
          <w:p>
            <w:pPr>
              <w:spacing w:after="0" w:line="240" w:lineRule="auto"/>
            </w:pPr>
            <w:r>
              <w:rPr>
                <w:sz w:val="16"/>
              </w:rPr>
            </w:r>
            <w:r>
              <w:rPr>
                <w:rFonts w:ascii="Aptos" w:hAnsi="Aptos" w:eastAsia="Aptos"/>
                <w:b w:val="0"/>
                <w:sz w:val="16"/>
              </w:rPr>
              <w:t>Tests whether small stores can have large seasonal effects.</w:t>
            </w:r>
          </w:p>
        </w:tc>
        <w:tc>
          <w:tcPr>
            <w:tcW w:type="dxa" w:w="2592"/>
            <w:vAlign w:val="top"/>
          </w:tcPr>
          <w:p>
            <w:pPr>
              <w:spacing w:after="0" w:line="240" w:lineRule="auto"/>
            </w:pPr>
            <w:r>
              <w:rPr>
                <w:sz w:val="16"/>
              </w:rPr>
              <w:t>Does not provide exact population or Q/X ratios.</w:t>
            </w:r>
          </w:p>
        </w:tc>
      </w:tr>
      <w:tr>
        <w:tc>
          <w:tcPr>
            <w:tcW w:type="dxa" w:w="2592"/>
          </w:tcPr>
          <w:p>
            <w:r>
              <w:rPr>
                <w:sz w:val="16"/>
              </w:rPr>
              <w:t>Access regime and return accounts</w:t>
            </w:r>
          </w:p>
        </w:tc>
        <w:tc>
          <w:tcPr>
            <w:tcW w:type="dxa" w:w="2592"/>
          </w:tcPr>
          <w:p>
            <w:r>
              <w:rPr>
                <w:sz w:val="16"/>
              </w:rPr>
              <w:t>Predicted through clustered outer-field stress, route memory, repeated return, and movement toward witnessed aggregation.</w:t>
            </w:r>
          </w:p>
        </w:tc>
        <w:tc>
          <w:tcPr>
            <w:tcW w:type="dxa" w:w="2592"/>
          </w:tcPr>
          <w:p>
            <w:r>
              <w:rPr>
                <w:sz w:val="16"/>
              </w:rPr>
              <w:t>Frames encounter pressure as contested access to labour-embedded food rather than simple villainy or innocence.</w:t>
            </w:r>
          </w:p>
        </w:tc>
        <w:tc>
          <w:tcPr>
            <w:tcW w:type="dxa" w:w="2592"/>
          </w:tcPr>
          <w:p>
            <w:r>
              <w:rPr>
                <w:sz w:val="16"/>
              </w:rPr>
              <w:t>Requires material convergence; cannot prove specific stories.</w:t>
            </w:r>
          </w:p>
        </w:tc>
      </w:tr>
    </w:tbl>
    <w:p/>
    <w:p>
      <w:pPr>
        <w:pStyle w:val="Heading1"/>
      </w:pPr>
      <w:r>
        <w:t>14. Projectiles: incoming, salvaged, and low-rank</w:t>
      </w:r>
    </w:p>
    <w:p>
      <w:r>
        <w:rPr>
          <w:rFonts w:ascii="Aptos" w:hAnsi="Aptos" w:eastAsia="Aptos"/>
        </w:rP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r>
        <w:rPr>
          <w:rFonts w:ascii="Aptos" w:hAnsi="Aptos" w:eastAsia="Aptos"/>
        </w:rP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pPr>
      <w:r>
        <w:t>15. Regional network, walking-distance nodes, Karahan Tepe, and T-pillar echo</w:t>
      </w:r>
    </w:p>
    <w:p>
      <w:r>
        <w:rPr>
          <w:rFonts w:ascii="Aptos" w:hAnsi="Aptos" w:eastAsia="Aptos"/>
        </w:rPr>
        <w:t>Gobekli Tepe should not be treated as an isolated target. Regional T-pillar sites and related symbolic forms suggest a broader landscape of shared monument language, visitors, allies, and emulation. A raider-mode group approaching one node may be approaching a network of kin, guests, exchange partners, and ritual obligations rather than a lone pantry.</w:t>
      </w:r>
    </w:p>
    <w:p>
      <w:r>
        <w:rPr>
          <w:rFonts w:ascii="Aptos" w:hAnsi="Aptos" w:eastAsia="Aptos"/>
        </w:rPr>
        <w:t>Other T-pillar sites need not share the original GT problem or layout. Once the visible form acquires a history of hard chronic resistance, related sites can adopt it as prestige echo, coalition signalling, regional identity claim, or participation marker. The copy need not be false. It is how the bite travels.</w:t>
      </w:r>
    </w:p>
    <w:p>
      <w:r>
        <w:rPr>
          <w:rFonts w:ascii="Aptos" w:hAnsi="Aptos" w:eastAsia="Aptos"/>
        </w:rPr>
        <w:t>The chronological relation between Karahan Tepe and Gobekli Tepe remains important but not decisive for the model. Karahan Tepe could represent an earlier, parallel, or later expression of the same regional visible system. If earlier, it may show that range resistance, siege resistance, and monumental signalling were already available before the close-approach problem was more fully solved at Gobekli Tepe. If parallel, the two sites may preserve different local solutions inside the same pressure field. If later, Karahan Tepe may inherit a monument form whose close-approach cost had already entered regional memory. For now, the KT/GT sequence should remain an open variable rather than a forced premise.</w:t>
      </w:r>
    </w:p>
    <w:p>
      <w:r>
        <w:rPr>
          <w:rFonts w:ascii="Aptos" w:hAnsi="Aptos" w:eastAsia="Aptos"/>
        </w:rPr>
        <w:t>Related sites should not be read as recruits copying a battlefield drill. A safer reading is visible-form inheritance: once a regional monument language is associated with gatherings that are hard to exploit, later sites can copy the posture, not the whole event history. The copied form can carry coalition memory, participation, and status without preserving every initial affordance.</w:t>
      </w:r>
    </w:p>
    <w:p>
      <w:r>
        <w:rPr>
          <w:rFonts w:ascii="Aptos" w:hAnsi="Aptos" w:eastAsia="Aptos"/>
        </w:rPr>
        <w:t>This inheritance should be expected to vary. Some sites may borrow prestige, some may preserve encounter-management functions, some may adapt the form to local terrain, and some may copy a regional sign whose first pressure field is already fading. Partial copying, symbolic drift, and local reinterpretation are normal transmission behaviour.</w:t>
      </w:r>
    </w:p>
    <w:p>
      <w:r>
        <w:rPr>
          <w:rFonts w:ascii="Aptos" w:hAnsi="Aptos" w:eastAsia="Aptos"/>
        </w:rPr>
        <w:t>The spread of T-pillar sites may reflect a regional mesh of locally scaled aggregation nodes rather than centralized expansion from a single origin. Their spacing should be expected to follow walking catchments, resource basins, approach routes, and population territories. A node too distant cannot protect workers, host repeated processing, or carry warning memory effectively; a node too near another may duplicate costly labour.</w:t>
      </w:r>
    </w:p>
    <w:p>
      <w:r>
        <w:rPr>
          <w:rFonts w:ascii="Aptos" w:hAnsi="Aptos" w:eastAsia="Aptos"/>
        </w:rPr>
        <w:t>Acceptable walking distance is not a fixed radius. It depends on movement under load: carrying grain, moving tools, escorting workers, bringing children or elders, reaching witnesses before danger peaks, and returning before darkness, fatigue, or spoilage changes the risk. Similar architecture could therefore emerge near-synchronously as neighbouring groups faced the same exposure problem. This keeps the KT/GT sequence open: earlier, parallel, or later relationships can all remain possible until the field sequence is better constrained.</w:t>
      </w:r>
    </w:p>
    <w:p>
      <w:r>
        <w:rPr>
          <w:rFonts w:ascii="Aptos" w:hAnsi="Aptos" w:eastAsia="Aptos"/>
        </w:rPr>
        <w:t>The regional pattern should therefore be read through route recurrence. People do not move across foothill landscapes like random particles. Water, slope tolerance, shade, seasonal passes, grain zones, animal paths, rest points, and known safe approaches braid movement into repeated corridors. Once nodes sit inside those corridors, encounters cease being only chance events. They become expected recurrence.</w:t>
      </w:r>
    </w:p>
    <w:p>
      <w:r>
        <w:rPr>
          <w:rFonts w:ascii="Aptos" w:hAnsi="Aptos" w:eastAsia="Aptos"/>
        </w:rPr>
        <w:t>In this sense, T-pillar sites can be treated as foot-world service nodes rather than political satellites. Their value lies in reachability, recognizability, repeated use, and reduced uncertainty for local populations moving under load. The test is not whether every site repeats the same architecture or task, but whether sites sit where movement, resources, and encounter density make durable aggregation useful.</w:t>
      </w:r>
    </w:p>
    <w:p>
      <w:pPr>
        <w:pStyle w:val="Heading2"/>
      </w:pPr>
      <w:r>
        <w:t>15.1 Memory substrate and coordination scale</w:t>
      </w:r>
    </w:p>
    <w:p>
      <w:r>
        <w:rPr>
          <w:rFonts w:ascii="Aptos" w:hAnsi="Aptos" w:eastAsia="Aptos"/>
        </w:rPr>
        <w:t>Another cautious comparison is to separate memory stabilisation mode from coordination scale. Gobekli Tepe can be read as a container-memory system: repeated enclosures, formal syntax, curated fill, and closure acts package use into bounded episodes. Karahan Tepe may preserve more terrain-memory: carved bedrock, more direct body imagery, and irregular spaces embedded in limestone. A mortuary field such as WF16 would be depositional-memory, where meaning is read through assemblages and formation-process noise rather than enclosure syntax. These are not stages in a single ladder. They are material strategies that can coexist.</w:t>
      </w:r>
    </w:p>
    <w:p>
      <w:r>
        <w:rPr>
          <w:rFonts w:ascii="Aptos" w:hAnsi="Aptos" w:eastAsia="Aptos"/>
        </w:rPr>
        <w:t>At larger aggregation scale, symbolic compression and boundary management matter more because many partly unfamiliar people must coordinate in the same place. Smaller continuity groups can tolerate more ambiguity because context is already shared. Large recurring nodes need repetition, recognisability, and closure. This gives the Gobekli Tepe and Karahan Tepe contrast a testable shape without making either site an origin or derivative copy.</w:t>
      </w:r>
    </w:p>
    <w:p>
      <w:r>
        <w:rPr>
          <w:rFonts w:ascii="Aptos" w:hAnsi="Aptos" w:eastAsia="Aptos"/>
        </w:rPr>
        <w:t>The enclosure sequence should also not be over-read as one continuous engineering loop that runs until danger vanishes. A safer reading is staged commitment: bounded enclosures are raised, activated, and closed, while later work repeats or varies the form elsewhere. Closure fixes an episode of meaning rather than proving abandonment, failure, or iterative optimisation.</w:t>
      </w:r>
    </w:p>
    <w:p>
      <w:pPr>
        <w:pStyle w:val="Heading1"/>
      </w:pPr>
      <w:r>
        <w:t>16. End-state, integration, and burial</w:t>
      </w:r>
    </w:p>
    <w:p>
      <w:r>
        <w:t>The endpoint of this model is not permanent opposition between processors and outsiders. Over time, neighbouring groups could copy the processing system, enter exchange relations, marry into the network, become regular guests, or participate in shared gatherings. In that end-state, X is no longer simply outside Q. The original opposition weakens because the once-external pressure has been absorbed into the social field.</w:t>
      </w:r>
    </w:p>
    <w:p>
      <w:r>
        <w:rPr>
          <w:rFonts w:ascii="Aptos" w:hAnsi="Aptos" w:eastAsia="Aptos"/>
        </w:rPr>
        <w:t>When that happens, the visible system of hard chronic resistance no longer needs to perform the same work. The stone node may remain powerful, but its old job has changed. Covering or burying such places need not be read only as concealment from others. It may also represent self-directed memory management: the community no longer needed to live beside a monumental reminder of the coercive, fearful, or retaliatory conditions under which the system first became necessary.</w:t>
      </w:r>
    </w:p>
    <w:p>
      <w:r>
        <w:rPr>
          <w:rFonts w:ascii="Aptos" w:hAnsi="Aptos" w:eastAsia="Aptos"/>
        </w:rPr>
        <w:t>Burial can therefore be read, cautiously, as possible retirement of a coordination system. If the old encounter pressure has been absorbed through marriage, imitation, guest conversion, exchange, and shared participation, the monument may remain too socially charged for the new field. Covering the node becomes controlled deactivation: not denial to outsiders, and not necessarily destruction, but removal of an inherited operating form from daily life.</w:t>
      </w:r>
    </w:p>
    <w:p>
      <w:r>
        <w:rPr>
          <w:rFonts w:ascii="Aptos" w:hAnsi="Aptos" w:eastAsia="Aptos"/>
        </w:rPr>
        <w:t>This interpretation should remain cautious. Burial can have many causes: rebuilding, stabilisation, ritual closure, sediment movement, memory practice, or practical site management. The point is only that denial for outsiders is not required. A community may also cover a place because descendants no longer want the old hard-resistance form to dominate everyday life.</w:t>
      </w:r>
    </w:p>
    <w:p>
      <w:pPr>
        <w:pStyle w:val="Heading1"/>
      </w:pPr>
      <w:r>
        <w:t>17. Low-rank mechanisms, kept short</w:t>
      </w:r>
    </w:p>
    <w:p>
      <w:r>
        <w:rPr>
          <w:rFonts w:ascii="Aptos" w:hAnsi="Aptos" w:eastAsia="Aptos"/>
        </w:rPr>
        <w:t>Delay-and-drop remains a tactical affordance, not a proven event: a visible or scent-linked threshold delays the front of a small raiding group, spatial routing produces a pause, and defenders use height or side positions to break momentum. This is a proposed use of architecture, not a demonstrated fact.</w:t>
      </w:r>
    </w:p>
    <w:p>
      <w:r>
        <w:rPr>
          <w:rFonts w:ascii="Aptos" w:hAnsi="Aptos" w:eastAsia="Aptos"/>
        </w:rPr>
        <w:t>Falling-stone or upper-stone mechanisms remain lower-rank than protected processing, worker-risk, feeder-landscape testing, and copied visible resistance. They should stay in appendix or brief mechanism notes unless timber, support, socket, route, rubble, repair, or impact evidence supports them.</w:t>
      </w:r>
    </w:p>
    <w:p>
      <w:r>
        <w:rPr>
          <w:rFonts w:ascii="Aptos" w:hAnsi="Aptos" w:eastAsia="Aptos"/>
        </w:rPr>
        <w:t>Mortuary crisis roles and rare emergency conspecific consumption are also edge cases. Modified skull fragments are best treated first as death practice and body handling; scarcity readings remain theoretical limit-cases, not ordinary practice.</w:t>
      </w:r>
    </w:p>
    <w:p>
      <w:pPr>
        <w:pStyle w:val="Heading1"/>
      </w:pPr>
      <w:r>
        <w:t>18. What would strengthen or weaken the model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EDEDED"/>
          </w:tcPr>
          <w:p>
            <w:pPr>
              <w:spacing w:after="0" w:line="240" w:lineRule="auto"/>
            </w:pPr>
            <w:r>
              <w:rPr>
                <w:sz w:val="16"/>
              </w:rPr>
            </w:r>
            <w:r>
              <w:rPr>
                <w:rFonts w:ascii="Aptos" w:hAnsi="Aptos" w:eastAsia="Aptos"/>
                <w:b/>
                <w:sz w:val="16"/>
              </w:rPr>
              <w:t>Would strengthen</w:t>
            </w:r>
          </w:p>
        </w:tc>
        <w:tc>
          <w:tcPr>
            <w:tcW w:type="dxa" w:w="5184"/>
            <w:vAlign w:val="top"/>
            <w:shd w:fill="EDEDED"/>
          </w:tcPr>
          <w:p>
            <w:pPr>
              <w:spacing w:after="0" w:line="240" w:lineRule="auto"/>
            </w:pPr>
            <w:r>
              <w:rPr>
                <w:sz w:val="16"/>
              </w:rPr>
            </w:r>
            <w:r>
              <w:rPr>
                <w:rFonts w:ascii="Aptos" w:hAnsi="Aptos" w:eastAsia="Aptos"/>
                <w:b/>
                <w:sz w:val="16"/>
              </w:rPr>
              <w:t>Would weaken</w:t>
            </w:r>
          </w:p>
        </w:tc>
      </w:tr>
      <w:tr>
        <w:tc>
          <w:tcPr>
            <w:tcW w:type="dxa" w:w="5184"/>
            <w:vAlign w:val="top"/>
          </w:tcPr>
          <w:p>
            <w:pPr>
              <w:spacing w:after="0" w:line="240" w:lineRule="auto"/>
            </w:pPr>
            <w:r>
              <w:rPr>
                <w:sz w:val="16"/>
              </w:rPr>
            </w:r>
            <w:r>
              <w:rPr>
                <w:rFonts w:ascii="Aptos" w:hAnsi="Aptos" w:eastAsia="Aptos"/>
                <w:b w:val="0"/>
                <w:sz w:val="16"/>
              </w:rPr>
              <w:t>The ground-stone assemblage shows convergent high-intensity use, stress-wear, fracture usage, resharpening, or restricted processing windows.</w:t>
            </w:r>
          </w:p>
        </w:tc>
        <w:tc>
          <w:tcPr>
            <w:tcW w:type="dxa" w:w="5184"/>
            <w:vAlign w:val="top"/>
          </w:tcPr>
          <w:p>
            <w:pPr>
              <w:spacing w:after="0" w:line="240" w:lineRule="auto"/>
            </w:pPr>
            <w:r>
              <w:rPr>
                <w:sz w:val="16"/>
              </w:rPr>
            </w:r>
            <w:r>
              <w:rPr>
                <w:rFonts w:ascii="Aptos" w:hAnsi="Aptos" w:eastAsia="Aptos"/>
                <w:b w:val="0"/>
                <w:sz w:val="16"/>
              </w:rPr>
              <w:t>The ground-stone assemblage lacks convergent patterning or high-intensity use signals beyond ordinary domestic scatter.</w:t>
            </w:r>
          </w:p>
        </w:tc>
      </w:tr>
      <w:tr>
        <w:tc>
          <w:tcPr>
            <w:tcW w:type="dxa" w:w="5184"/>
            <w:vAlign w:val="top"/>
          </w:tcPr>
          <w:p>
            <w:pPr>
              <w:spacing w:after="0" w:line="240" w:lineRule="auto"/>
            </w:pPr>
            <w:r>
              <w:rPr>
                <w:sz w:val="16"/>
              </w:rPr>
            </w:r>
            <w:r>
              <w:rPr>
                <w:rFonts w:ascii="Aptos" w:hAnsi="Aptos" w:eastAsia="Aptos"/>
                <w:b w:val="0"/>
                <w:sz w:val="16"/>
              </w:rPr>
              <w:t>Feeder sites show clustered stress: damaged bins, sudden abandonment, moved grinding kit, route-facing repair, and movement toward protected processing.</w:t>
            </w:r>
          </w:p>
        </w:tc>
        <w:tc>
          <w:tcPr>
            <w:tcW w:type="dxa" w:w="5184"/>
            <w:vAlign w:val="top"/>
          </w:tcPr>
          <w:p>
            <w:pPr>
              <w:spacing w:after="0" w:line="240" w:lineRule="auto"/>
            </w:pPr>
            <w:r>
              <w:rPr>
                <w:sz w:val="16"/>
              </w:rPr>
            </w:r>
            <w:r>
              <w:rPr>
                <w:rFonts w:ascii="Aptos" w:hAnsi="Aptos" w:eastAsia="Aptos"/>
                <w:b w:val="0"/>
                <w:sz w:val="16"/>
              </w:rPr>
              <w:t>Feeder sites show vulnerable processing without storage stress, route stress, coercive encounter signatures, or movement toward protected nodes.</w:t>
            </w:r>
          </w:p>
        </w:tc>
      </w:tr>
      <w:tr>
        <w:tc>
          <w:tcPr>
            <w:tcW w:type="dxa" w:w="5184"/>
            <w:vAlign w:val="top"/>
          </w:tcPr>
          <w:p>
            <w:pPr>
              <w:spacing w:after="0" w:line="240" w:lineRule="auto"/>
            </w:pPr>
            <w:r>
              <w:rPr>
                <w:sz w:val="16"/>
              </w:rPr>
            </w:r>
            <w:r>
              <w:rPr>
                <w:rFonts w:ascii="Aptos" w:hAnsi="Aptos" w:eastAsia="Aptos"/>
                <w:b w:val="0"/>
                <w:sz w:val="16"/>
              </w:rPr>
              <w:t>Approach-route overlay shows delay, observation, bunching, early warning, or resident clustering potential.</w:t>
            </w:r>
          </w:p>
        </w:tc>
        <w:tc>
          <w:tcPr>
            <w:tcW w:type="dxa" w:w="5184"/>
            <w:vAlign w:val="top"/>
          </w:tcPr>
          <w:p>
            <w:pPr>
              <w:spacing w:after="0" w:line="240" w:lineRule="auto"/>
            </w:pPr>
            <w:r>
              <w:rPr>
                <w:sz w:val="16"/>
              </w:rPr>
            </w:r>
            <w:r>
              <w:rPr>
                <w:rFonts w:ascii="Aptos" w:hAnsi="Aptos" w:eastAsia="Aptos"/>
                <w:b w:val="0"/>
                <w:sz w:val="16"/>
              </w:rPr>
              <w:t>Plan overlay shows no meaningful route delay, observation, bunching, or resident clustering potential.</w:t>
            </w:r>
          </w:p>
        </w:tc>
      </w:tr>
      <w:tr>
        <w:tc>
          <w:tcPr>
            <w:tcW w:type="dxa" w:w="5184"/>
            <w:vAlign w:val="top"/>
          </w:tcPr>
          <w:p>
            <w:pPr>
              <w:spacing w:after="0" w:line="240" w:lineRule="auto"/>
            </w:pPr>
            <w:r>
              <w:rPr>
                <w:sz w:val="16"/>
              </w:rPr>
            </w:r>
            <w:r>
              <w:rPr>
                <w:rFonts w:ascii="Aptos" w:hAnsi="Aptos" w:eastAsia="Aptos"/>
                <w:b w:val="0"/>
                <w:sz w:val="16"/>
              </w:rPr>
              <w:t>Protected processing areas align with safe routes, watch points, social gathering, or contribution pathways.</w:t>
            </w:r>
          </w:p>
        </w:tc>
        <w:tc>
          <w:tcPr>
            <w:tcW w:type="dxa" w:w="5184"/>
            <w:vAlign w:val="top"/>
          </w:tcPr>
          <w:p>
            <w:pPr>
              <w:spacing w:after="0" w:line="240" w:lineRule="auto"/>
            </w:pPr>
            <w:r>
              <w:rPr>
                <w:sz w:val="16"/>
              </w:rPr>
            </w:r>
            <w:r>
              <w:rPr>
                <w:rFonts w:ascii="Aptos" w:hAnsi="Aptos" w:eastAsia="Aptos"/>
                <w:b w:val="0"/>
                <w:sz w:val="16"/>
              </w:rPr>
              <w:t>Grinding distribution fits ordinary scatter without processing-node patterning.</w:t>
            </w:r>
          </w:p>
        </w:tc>
      </w:tr>
      <w:tr>
        <w:tc>
          <w:tcPr>
            <w:tcW w:type="dxa" w:w="5184"/>
            <w:vAlign w:val="top"/>
          </w:tcPr>
          <w:p>
            <w:pPr>
              <w:spacing w:after="0" w:line="240" w:lineRule="auto"/>
            </w:pPr>
            <w:r>
              <w:rPr>
                <w:sz w:val="16"/>
              </w:rPr>
            </w:r>
            <w:r>
              <w:rPr>
                <w:rFonts w:ascii="Aptos" w:hAnsi="Aptos" w:eastAsia="Aptos"/>
                <w:b w:val="0"/>
                <w:sz w:val="16"/>
              </w:rPr>
              <w:t>Worker-risk signatures appear: moved grinding kit, avoided exposed work spots, paired work, watched paths, route stress, or signs of coercive encounters near food work.</w:t>
            </w:r>
          </w:p>
        </w:tc>
        <w:tc>
          <w:tcPr>
            <w:tcW w:type="dxa" w:w="5184"/>
            <w:vAlign w:val="top"/>
          </w:tcPr>
          <w:p>
            <w:pPr>
              <w:spacing w:after="0" w:line="240" w:lineRule="auto"/>
            </w:pPr>
            <w:r>
              <w:rPr>
                <w:sz w:val="16"/>
              </w:rPr>
            </w:r>
            <w:r>
              <w:rPr>
                <w:rFonts w:ascii="Aptos" w:hAnsi="Aptos" w:eastAsia="Aptos"/>
                <w:b w:val="0"/>
                <w:sz w:val="16"/>
              </w:rPr>
              <w:t>No evidence appears for exposed worker vulnerability or movement away from isolated processing.</w:t>
            </w:r>
          </w:p>
        </w:tc>
      </w:tr>
      <w:tr>
        <w:tc>
          <w:tcPr>
            <w:tcW w:type="dxa" w:w="5184"/>
            <w:vAlign w:val="top"/>
          </w:tcPr>
          <w:p>
            <w:pPr>
              <w:spacing w:after="0" w:line="240" w:lineRule="auto"/>
            </w:pPr>
            <w:r>
              <w:rPr>
                <w:sz w:val="16"/>
              </w:rPr>
            </w:r>
            <w:r>
              <w:rPr>
                <w:rFonts w:ascii="Aptos" w:hAnsi="Aptos" w:eastAsia="Aptos"/>
                <w:b w:val="0"/>
                <w:sz w:val="16"/>
              </w:rPr>
              <w:t>Copied visible forms align with protected food-work routes, approach control, resource basins, or gathering recurrence.</w:t>
            </w:r>
          </w:p>
        </w:tc>
        <w:tc>
          <w:tcPr>
            <w:tcW w:type="dxa" w:w="5184"/>
            <w:vAlign w:val="top"/>
          </w:tcPr>
          <w:p>
            <w:pPr>
              <w:spacing w:after="0" w:line="240" w:lineRule="auto"/>
            </w:pPr>
            <w:r>
              <w:rPr>
                <w:sz w:val="16"/>
              </w:rPr>
            </w:r>
            <w:r>
              <w:rPr>
                <w:rFonts w:ascii="Aptos" w:hAnsi="Aptos" w:eastAsia="Aptos"/>
                <w:b w:val="0"/>
                <w:sz w:val="16"/>
              </w:rPr>
              <w:t>T-pillar and symbolic patterning remains unrelated to access, processing, route control, or gathering recurrence.</w:t>
            </w:r>
          </w:p>
        </w:tc>
      </w:tr>
      <w:tr>
        <w:tc>
          <w:tcPr>
            <w:tcW w:type="dxa" w:w="5184"/>
            <w:vAlign w:val="top"/>
          </w:tcPr>
          <w:p>
            <w:pPr>
              <w:spacing w:after="0" w:line="240" w:lineRule="auto"/>
            </w:pPr>
            <w:r>
              <w:rPr>
                <w:sz w:val="16"/>
              </w:rPr>
            </w:r>
            <w:r>
              <w:rPr>
                <w:rFonts w:ascii="Aptos" w:hAnsi="Aptos" w:eastAsia="Aptos"/>
                <w:b w:val="0"/>
                <w:sz w:val="16"/>
              </w:rPr>
              <w:t>Impact-diagnostic lithic or stone traces align with threshold routes and repair.</w:t>
            </w:r>
          </w:p>
        </w:tc>
        <w:tc>
          <w:tcPr>
            <w:tcW w:type="dxa" w:w="5184"/>
            <w:vAlign w:val="top"/>
          </w:tcPr>
          <w:p>
            <w:pPr>
              <w:spacing w:after="0" w:line="240" w:lineRule="auto"/>
            </w:pPr>
            <w:r>
              <w:rPr>
                <w:sz w:val="16"/>
              </w:rPr>
            </w:r>
            <w:r>
              <w:rPr>
                <w:rFonts w:ascii="Aptos" w:hAnsi="Aptos" w:eastAsia="Aptos"/>
                <w:b w:val="0"/>
                <w:sz w:val="16"/>
              </w:rPr>
              <w:t>Micro-traces dissolve into ordinary knapping, grinding, trampling, or fill processes.</w:t>
            </w:r>
          </w:p>
        </w:tc>
      </w:tr>
      <w:tr>
        <w:tc>
          <w:tcPr>
            <w:tcW w:type="dxa" w:w="5184"/>
            <w:vAlign w:val="top"/>
          </w:tcPr>
          <w:p>
            <w:pPr>
              <w:spacing w:after="0" w:line="240" w:lineRule="auto"/>
            </w:pPr>
            <w:r>
              <w:rPr>
                <w:sz w:val="16"/>
              </w:rPr>
            </w:r>
            <w:r>
              <w:rPr>
                <w:rFonts w:ascii="Aptos" w:hAnsi="Aptos" w:eastAsia="Aptos"/>
                <w:b w:val="0"/>
                <w:sz w:val="16"/>
              </w:rPr>
              <w:t>Timber, screen, roof, platform, or access evidence changes route and sightline readings.</w:t>
            </w:r>
          </w:p>
        </w:tc>
        <w:tc>
          <w:tcPr>
            <w:tcW w:type="dxa" w:w="5184"/>
            <w:vAlign w:val="top"/>
          </w:tcPr>
          <w:p>
            <w:pPr>
              <w:spacing w:after="0" w:line="240" w:lineRule="auto"/>
            </w:pPr>
            <w:r>
              <w:rPr>
                <w:sz w:val="16"/>
              </w:rPr>
            </w:r>
            <w:r>
              <w:rPr>
                <w:rFonts w:ascii="Aptos" w:hAnsi="Aptos" w:eastAsia="Aptos"/>
                <w:b w:val="0"/>
                <w:sz w:val="16"/>
              </w:rPr>
              <w:t>No timber, screen, platform, or access evidence appears after detailed study.</w:t>
            </w:r>
          </w:p>
        </w:tc>
      </w:tr>
      <w:tr>
        <w:tc>
          <w:tcPr>
            <w:tcW w:type="dxa" w:w="5184"/>
            <w:vAlign w:val="top"/>
          </w:tcPr>
          <w:p>
            <w:pPr>
              <w:spacing w:after="0" w:line="240" w:lineRule="auto"/>
            </w:pPr>
            <w:r>
              <w:rPr>
                <w:sz w:val="16"/>
              </w:rPr>
            </w:r>
            <w:r>
              <w:rPr>
                <w:rFonts w:ascii="Aptos" w:hAnsi="Aptos" w:eastAsia="Aptos"/>
                <w:b w:val="0"/>
                <w:sz w:val="16"/>
              </w:rPr>
              <w:t>Visitor and material signatures show wide gathering networks and seasonal influx.</w:t>
            </w:r>
          </w:p>
        </w:tc>
        <w:tc>
          <w:tcPr>
            <w:tcW w:type="dxa" w:w="5184"/>
            <w:vAlign w:val="top"/>
          </w:tcPr>
          <w:p>
            <w:pPr>
              <w:spacing w:after="0" w:line="240" w:lineRule="auto"/>
            </w:pPr>
            <w:r>
              <w:rPr>
                <w:sz w:val="16"/>
              </w:rPr>
            </w:r>
            <w:r>
              <w:rPr>
                <w:rFonts w:ascii="Aptos" w:hAnsi="Aptos" w:eastAsia="Aptos"/>
                <w:b w:val="0"/>
                <w:sz w:val="16"/>
              </w:rPr>
              <w:t>A simpler model explains ritual, food, animal, death, route, and visibility data with fewer assumptions.</w:t>
            </w:r>
          </w:p>
        </w:tc>
      </w:tr>
      <w:tr>
        <w:tc>
          <w:tcPr>
            <w:tcW w:type="dxa" w:w="5184"/>
            <w:vAlign w:val="top"/>
          </w:tcPr>
          <w:p>
            <w:pPr>
              <w:spacing w:after="0" w:line="240" w:lineRule="auto"/>
            </w:pPr>
            <w:r>
              <w:rPr>
                <w:sz w:val="16"/>
              </w:rPr>
            </w:r>
            <w:r>
              <w:rPr>
                <w:rFonts w:ascii="Aptos" w:hAnsi="Aptos" w:eastAsia="Aptos"/>
                <w:b w:val="0"/>
                <w:sz w:val="16"/>
              </w:rPr>
              <w:t>Seasonal calorie modelling shows modest storage could materially shift local winter survival margins and route pressure.</w:t>
            </w:r>
          </w:p>
        </w:tc>
        <w:tc>
          <w:tcPr>
            <w:tcW w:type="dxa" w:w="5184"/>
            <w:vAlign w:val="top"/>
          </w:tcPr>
          <w:p>
            <w:pPr>
              <w:spacing w:after="0" w:line="240" w:lineRule="auto"/>
            </w:pPr>
            <w:r>
              <w:rPr>
                <w:sz w:val="16"/>
              </w:rPr>
            </w:r>
            <w:r>
              <w:rPr>
                <w:rFonts w:ascii="Aptos" w:hAnsi="Aptos" w:eastAsia="Aptos"/>
                <w:b w:val="0"/>
                <w:sz w:val="16"/>
              </w:rPr>
              <w:t>Calorie and catchment modelling shows storage was too small, too scattered, or too unrelated to seasonal stress to affect encounter pressure.</w:t>
            </w:r>
          </w:p>
        </w:tc>
      </w:tr>
      <w:tr>
        <w:tc>
          <w:tcPr>
            <w:tcW w:type="dxa" w:w="5184"/>
          </w:tcPr>
          <w:p>
            <w:r>
              <w:rPr>
                <w:sz w:val="16"/>
              </w:rPr>
              <w:t>Feeder routes show clustered return-account candidates: repeated tool loss, cache disturbance, burned soft shelters, route avoidance, or injury patterns feeding movement toward aggregation.</w:t>
            </w:r>
          </w:p>
        </w:tc>
        <w:tc>
          <w:tcPr>
            <w:tcW w:type="dxa" w:w="5184"/>
          </w:tcPr>
          <w:p>
            <w:r>
              <w:rPr>
                <w:sz w:val="16"/>
              </w:rPr>
              <w:t>Feeder routes show no clustered loss, disturbance, avoidance, or movement toward shared nodes despite good preservation and survey coverage.</w:t>
            </w:r>
          </w:p>
        </w:tc>
      </w:tr>
    </w:tbl>
    <w:p/>
    <w:p>
      <w:pPr>
        <w:pStyle w:val="Heading2"/>
      </w:pPr>
      <w:r>
        <w:t>18.2. Conditions that would weaken the model</w:t>
      </w:r>
    </w:p>
    <w:p>
      <w:r>
        <w:rPr>
          <w:rFonts w:ascii="Aptos" w:hAnsi="Aptos" w:eastAsia="Aptos"/>
        </w:rPr>
        <w:t>The protected-processing model is tied to material boundaries evaluated through likelihood rather than a binary proof test. It would be substantially weakened if future survey and excavation found durable, unprotected, isolated large-scale grain-processing or processed-food storage installations with long-term use, no movement toward communal nodes, no route control, and no spatial relationship to monumental centres.</w:t>
      </w:r>
    </w:p>
    <w:p>
      <w:r>
        <w:rPr>
          <w:rFonts w:ascii="Aptos" w:hAnsi="Aptos" w:eastAsia="Aptos"/>
        </w:rPr>
        <w:t>It would also be weakened by a lack of convergent stress-wear, high-intensity fracture usage, accelerated repair, or restricted-window use patterning on the ground-stone assemblage. A third weakening condition would be evidence that contemporary T-pillar sites are distributed without relation to approach routes, recurrent walking corridors, visibility fields, choke points, seasonal resource basins, or early Holocene water logic.</w:t>
      </w:r>
    </w:p>
    <w:p>
      <w:pPr>
        <w:pStyle w:val="Heading1"/>
      </w:pPr>
      <w:r>
        <w:t>19. Figure plan for v1.0: three-zone spatial matrix</w:t>
      </w:r>
    </w:p>
    <w:p>
      <w:r>
        <w:rPr>
          <w:rFonts w:ascii="Aptos" w:hAnsi="Aptos" w:eastAsia="Aptos"/>
        </w:rPr>
        <w:t>Figure 1 should model three zones rather than a single undifferentiated site map. Zone 1 is the exposed feeder landscape: wild grain stands, harvesting pathways, minor ephemeral storage caches, initial grain handling, and isolated workers carrying high-fatigue labour loads. This is the high-exposure, low-structure zone.</w:t>
      </w:r>
    </w:p>
    <w:p>
      <w:r>
        <w:rPr>
          <w:rFonts w:ascii="Aptos" w:hAnsi="Aptos" w:eastAsia="Aptos"/>
        </w:rPr>
        <w:t>Zone 2 is the warning threshold: topographic compression, approach queues, terrace lines, screens, high mutual visibility, resident clustering, and domestic dogs capable of converting stealth or ambush into acoustic notice where food, people, scraps, and sleeping bodies cluster.</w:t>
      </w:r>
    </w:p>
    <w:p>
      <w:r>
        <w:rPr>
          <w:rFonts w:ascii="Aptos" w:hAnsi="Aptos" w:eastAsia="Aptos"/>
        </w:rPr>
        <w:t>Zone 3 is the monumental core: T-pillar enclosures, ritual display, coalition presence, communal spaces, and the unusually large aggregated processing toolkit. Direct traces of physical violence are expected to be lower here than in feeder routes and threshold zones because the core functions as the strongest counter-signal.</w:t>
      </w:r>
    </w:p>
    <w:p>
      <w:r>
        <w:rPr>
          <w:rFonts w:ascii="Aptos" w:hAnsi="Aptos" w:eastAsia="Aptos"/>
        </w:rPr>
        <w:t>A useful figure should show recognizability rather than sightlines alone: smoke plumes, grinding sound, dog alarms, cooking scent, trampling, fuel cutting, paths, seasonal return, and water access. The node works because repeated signals attach people, events, and expectations to one place.</w:t>
      </w:r>
    </w:p>
    <w:p>
      <w:r>
        <w:rPr>
          <w:rFonts w:ascii="Aptos" w:hAnsi="Aptos" w:eastAsia="Aptos"/>
        </w:rPr>
        <w:t>The map rule is temporal fit: geography must match the period being argued. Modern rivers, modern greenery, and modern settlement logic should not be allowed to substitute for early Holocene conditions. The figure should mark uncertainty rather than pretending to solve it.</w:t>
      </w:r>
    </w:p>
    <w:p>
      <w:r>
        <w:rPr>
          <w:rFonts w:ascii="Aptos" w:hAnsi="Aptos" w:eastAsia="Aptos"/>
        </w:rPr>
        <w:t>A second figure or inset should show the regional mesh: local nodes spaced by walking catchments, resource basins, likely routes, and visibility fields. This is not a map of central control. It is a map of reachable hard nodes serving local populations.</w:t>
      </w:r>
    </w:p>
    <w:p>
      <w:r>
        <w:t>A third optional schematic can show the lifecycle: exposed processing, selective hardening, copied visible form, X learning through failed approach, integration, and burial as retirement of a former necessity.</w:t>
      </w:r>
    </w:p>
    <w:p>
      <w:pPr>
        <w:pStyle w:val="Heading1"/>
      </w:pPr>
      <w:r>
        <w:t>20. Comparative frame: same problem, different solutions</w:t>
      </w:r>
    </w:p>
    <w:p>
      <w:r>
        <w:rPr>
          <w:rFonts w:ascii="Aptos" w:hAnsi="Aptos" w:eastAsia="Aptos"/>
        </w:rPr>
        <w:t>The comparative target is not another Gobekli Tepe. It is the same pressure family: pre-state aggregation systems managing widening encounter density around visible resource conversion. Different ecologies may solve this problem through different forms: ritual houses, feasting nodes, route monuments, formal guest systems, territorial markers, dog-heavy camp networks, ritual middens, or stone enclosures.</w:t>
      </w:r>
    </w:p>
    <w:p>
      <w:r>
        <w:rPr>
          <w:rFonts w:ascii="Aptos" w:hAnsi="Aptos" w:eastAsia="Aptos"/>
        </w:rPr>
        <w:t>This comparative frame protects the paper from searching for identical architecture. The question is whether humans elsewhere responded to resource predictability, surplus visibility, seasonal aggregation, and anonymity decline with analogous coordination stabilizers before large governance systems existed.</w:t>
      </w:r>
    </w:p>
    <w:p>
      <w:pPr>
        <w:pStyle w:val="Heading1"/>
      </w:pPr>
      <w:r>
        <w:t>21. Public and academic language note</w:t>
      </w:r>
    </w:p>
    <w:p>
      <w:r>
        <w:t>Version 0.978 keeps the main text close to ordinary archaeological language. The v1.0 pass should continue that translation without changing the paper spine: do not let one known role swallow another, do not turn absence into proof too quickly, and keep speculative mechanisms in rank until data supports them.</w:t>
      </w:r>
    </w:p>
    <w:p>
      <w:r>
        <w:rPr>
          <w:rFonts w:ascii="Aptos" w:hAnsi="Aptos" w:eastAsia="Aptos"/>
        </w:rPr>
        <w:t>For v1.0, earlier local vocabulary can be mapped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r>
        <w:t>The internal shorthand can remain offstage in publication prose. If compact notation is needed during testing, Q should mark the anchored-processing position and X the high-mobility uncertain-access position. The publication draft should usually write out the functions: anchored processors, high-mobility groups, returning guests, uncertain approachers, or encounter positions.</w:t>
      </w:r>
    </w:p>
    <w:p>
      <w:r>
        <w:rPr>
          <w:rFonts w:ascii="Aptos" w:hAnsi="Aptos" w:eastAsia="Aptos"/>
        </w:rPr>
        <w:t>Journal readiness requires two habits. First, keep the positive material anchor ahead of speculative mechanisms. Second, translate local project terms into standard archaeological language before submission while preserving the behavioural sequence that gives the paper its spine.</w:t>
      </w:r>
    </w:p>
    <w:p>
      <w:r>
        <w:rPr>
          <w:rFonts w:ascii="Aptos" w:hAnsi="Aptos" w:eastAsia="Aptos"/>
        </w:rPr>
        <w:t>A final v1.0 pass should also keep the behavioural synthesis connected to familiar archaeological conversations about aggregation, persistent places, signalling, risk pooling, landscape memory, and taphonomy, without burying the argument in theory jargon.</w:t>
      </w:r>
    </w:p>
    <w:p>
      <w:pPr>
        <w:pStyle w:val="Heading1"/>
      </w:pPr>
      <w:r>
        <w:t>Conclusion</w:t>
      </w:r>
    </w:p>
    <w:p>
      <w:r>
        <w:t>Version 0.978 moves the model toward journal readiness by reframing the problem as encounter management around visible value conversion. The thesis is no longer a trap claim and no longer depends on battle evidence. It is a protected-aggregation claim inside a ritual-social system, materially anchored in the unusually large ground-stone assemblage at Gobekli Tepe and tested through spatial, use-wear, feeder-landscape, recognizability, and regional distribution predictions.</w:t>
      </w:r>
    </w:p>
    <w:p>
      <w:r>
        <w:t>The v0.978 patch further tightens the paper by adding return-account feedback, competing access-regime framing, and a more cautious moral posture around Q and X. It also preserves the v0.977 gains: aggregation can beat concealment, stone works as temporal legibility, sensory recurrence and dog-assisted thresholding matter, T-pillars can be read as role-presences, and the widest protected unit is repeated aggregation around visible value conversion.</w:t>
      </w:r>
    </w:p>
    <w:p>
      <w:r>
        <w:rPr>
          <w:rFonts w:ascii="Aptos" w:hAnsi="Aptos" w:eastAsia="Aptos"/>
        </w:rPr>
        <w:t>The final test-data addition is presence before abstraction. Gobekli Tepe can be treated as a setting where coordination still had to be metabolized through gathered presence rather than delegated to records, offices, or formal rank. Bodies, witnesses, grinders, dogs, smoke, guests, routes, and stone persons are not decorative extras in this frame. They are the medium through which repeated coordination becomes durable.</w:t>
      </w:r>
    </w:p>
    <w:p>
      <w:r>
        <w:rPr>
          <w:rFonts w:ascii="Aptos" w:hAnsi="Aptos" w:eastAsia="Aptos"/>
        </w:rPr>
        <w:t>The paper should not depend on crisis. Hard winters, failed seasons, disease, and missed hunts could intensify pressure, but the base mechanism is ordinary success under weak coordination. Visible cereal processing raises encounter pressure because people, grain subtraction, paths, smoke, dogs, grinding, visitors, and repeated return make value conversion recognizable.</w:t>
      </w:r>
    </w:p>
    <w:p>
      <w:pPr/>
      <w:r>
        <w:t>A recurring node also gathers reports. Risk can arrive as stories before it arrives as core-site damage: late workers, missing tools, spoiled caches, frightening path encounters, burned shelters, animal disturbance, or uncertain people near cut cereal stands. This return-account feedback lets scattered feeder-landscape trouble become collective adjustment without requiring frequent battle evidence at the monumental core.</w:t>
      </w:r>
    </w:p>
    <w:p>
      <w:r>
        <w:t>The behavioural sequence is simple: Q feels safer, Q repeats, X tests, X fails, X remembers, and the form inherits cost. The larger field is not persistent hostility. It is widening mobility overlap in which anchored processors and high-mobility survivors learn one another through repeated contact, guest conversion, imitation, watching, and remembered cost.</w:t>
      </w:r>
    </w:p>
    <w:p>
      <w:pPr/>
      <w:r>
        <w:t>The model should not blame X as evil or excuse Q as naturally rightful. Q creates a new access regime by removing grain from open seasonal availability and binding it to labour, witnesses, storage, return, and refusal. X may experience that as loss before law exists to name it. The historical question is how such access regimes stabilised, not which side deserves moral comfort.</w:t>
      </w:r>
    </w:p>
    <w:p>
      <w:r>
        <w:t>The v0.978 version emphasises that the durable stone footprint may be the hard part of a mostly soft world, and that regional T-pillar sites may be route-recurrence nodes in a foot world. Perishable dwellings, vegetal roofs, mats, baskets, doors, fences, fuel, racks, and screens could remain everyday infrastructure while high-risk processing, witnessing, thresholding, and encounter management became selectively hardened.</w:t>
      </w:r>
    </w:p>
    <w:p>
      <w:r>
        <w:t>The end-state is absorption rather than permanent war. As X-position groups copy, join, marry in, trade in, and participate, the hard-resistance node loses its original role. Burial or covering can therefore be read as possible self-directed memory management: the community no longer needs to live beside the visible teeth of an old necessity. Closure may also reduce accumulated social load when a former coordination atmosphere no longer matches the living field.</w:t>
      </w:r>
    </w:p>
    <w:p>
      <w:r>
        <w:t>The comparative lesson is not to look for the same solution everywhere. It is to look for solutions to the same problem: how remembering animals reduce anonymity, store predictability, and stabilise repeated contact around visible value conversion before governance catches up.</w:t>
      </w:r>
    </w:p>
    <w:p>
      <w:pPr>
        <w:pStyle w:val="Heading1"/>
      </w:pPr>
      <w:r>
        <w:t>Appendix A. Low-rank taphonomic and competitor notes</w:t>
      </w:r>
    </w:p>
    <w:p>
      <w:r>
        <w:rPr>
          <w:rFonts w:ascii="Aptos" w:hAnsi="Aptos" w:eastAsia="Aptos"/>
        </w:rPr>
        <w:t>Bone is not proposed as primary raider bait. In the main argument it should be treated as formation-process and resident delayed-value context: marrow, tool stock, animal feed, ritual matter, trace-loss pathway, scent source, and scavenger attractor. Bone fragments, grease, scraps, and fill movement can attract suids, canids, vultures, foxes, rodents, insects, and carnivores into repeated activity zones. This can move traces, add gnaw marks, remove elements, and blur the boundary between ritual deposition, food waste, and later disturbance. [25-26]</w:t>
      </w:r>
    </w:p>
    <w:p>
      <w:r>
        <w:rPr>
          <w:rFonts w:ascii="Aptos" w:hAnsi="Aptos" w:eastAsia="Aptos"/>
        </w:rPr>
        <w:t>Large carnivores should remain an appendix-grade competitor note. Bears and other carnivores may affect food zones, carcass access, nut and honey patches, bone movement, and fear landscapes, but they do not form a main causal layer in the protected-processing model. The useful point is taphonomic caution: animal disturbance can change what survives and where it survives.</w:t>
      </w:r>
    </w:p>
    <w:p>
      <w:r>
        <w:rPr>
          <w:rFonts w:ascii="Aptos" w:hAnsi="Aptos" w:eastAsia="Aptos"/>
        </w:rPr>
        <w:t>Foxes, if mentioned, should be framed ecologically rather than mystically. They are human-adjacent opportunists that track scraps, rodents, carrion, seasonal foods, camp edges, and storage leakage. Their prominence in imagery may therefore fit an encounter ecology of watchers, scavengers, and threshold animals, but this remains interpretive and should not carry the paper.</w:t>
      </w:r>
    </w:p>
    <w:p>
      <w:pPr>
        <w:pStyle w:val="Heading1"/>
      </w:pPr>
      <w:r>
        <w:t>References and source anchors</w:t>
      </w:r>
    </w:p>
    <w:p>
      <w:pPr>
        <w:ind w:left="360" w:hanging="360"/>
      </w:pPr>
      <w:r>
        <w:rPr>
          <w:rFonts w:ascii="Aptos" w:hAnsi="Aptos" w:eastAsia="Aptos"/>
          <w:sz w:val="17"/>
        </w:rPr>
        <w:t>[1] UNESCO World Heritage Centre. Gobekli Tepe: dates, setting, T-pillars, and ritual framing. https://whc.unesco.org/en/list/1572/</w:t>
      </w:r>
    </w:p>
    <w:p>
      <w:pPr>
        <w:ind w:left="360" w:hanging="360"/>
      </w:pPr>
      <w:r>
        <w:rPr>
          <w:rFonts w:ascii="Aptos" w:hAnsi="Aptos" w:eastAsia="Aptos"/>
          <w:sz w:val="17"/>
        </w:rPr>
        <w:t>[2] Dietrich et al. 2019. Cereal processing at Early Neolithic Gobekli Tepe, southeastern Turkey. PLOS ONE. https://journals.plos.org/plosone/article?id=10.1371/journal.pone.0215214</w:t>
      </w:r>
    </w:p>
    <w:p>
      <w:pPr>
        <w:ind w:left="360" w:hanging="360"/>
      </w:pPr>
      <w:r>
        <w:rPr>
          <w:rFonts w:ascii="Aptos" w:hAnsi="Aptos" w:eastAsia="Aptos"/>
          <w:sz w:val="17"/>
        </w:rPr>
        <w:t>[3] Pollath et al. 2018. Almost a chest hit: an aurochs humerus with hunting lesion from Gobekli Tepe. Quaternary International. https://www.sciencedirect.com/science/article/abs/pii/S104061821731296X</w:t>
      </w:r>
    </w:p>
    <w:p>
      <w:pPr>
        <w:ind w:left="360" w:hanging="360"/>
      </w:pPr>
      <w:r>
        <w:rPr>
          <w:rFonts w:ascii="Aptos" w:hAnsi="Aptos" w:eastAsia="Aptos"/>
          <w:sz w:val="17"/>
        </w:rPr>
        <w:t>[4] DAI, The Tepe Telegrams. On the hunt, some 12,000 years ago: an aurochs bone with hunting lesion from Gobekli Tepe. https://www.dainst.blog/the-tepe-telegrams/2018/01/17/on-the-hunt-some-12-000-years-ago-an-aurochs-bone-with-hunting-lesion-from-gobekli-tepe/</w:t>
      </w:r>
    </w:p>
    <w:p>
      <w:pPr>
        <w:ind w:left="360" w:hanging="360"/>
      </w:pPr>
      <w:r>
        <w:rPr>
          <w:rFonts w:ascii="Aptos" w:hAnsi="Aptos" w:eastAsia="Aptos"/>
          <w:sz w:val="17"/>
        </w:rPr>
        <w:t>[5] Gresky et al. 2017. Modified human crania from Gobekli Tepe provide evidence for a new form of Neolithic skull practice. Science Advances. https://www.science.org/doi/10.1126/sciadv.1700564</w:t>
      </w:r>
    </w:p>
    <w:p>
      <w:pPr>
        <w:ind w:left="360" w:hanging="360"/>
      </w:pPr>
      <w:r>
        <w:rPr>
          <w:rFonts w:ascii="Aptos" w:hAnsi="Aptos" w:eastAsia="Aptos"/>
          <w:sz w:val="17"/>
        </w:rPr>
        <w:t>[6] DAI, The Tepe Telegrams. Evidence for skull practice at Gobekli Tepe. https://www.dainst.blog/the-tepe-telegrams/2017/06/28/new-publication-in-science-advances-evidence-for-skull-cult-at-gobekli-tepe/</w:t>
      </w:r>
    </w:p>
    <w:p>
      <w:pPr>
        <w:ind w:left="360" w:hanging="360"/>
      </w:pPr>
      <w:r>
        <w:rPr>
          <w:rFonts w:ascii="Aptos" w:hAnsi="Aptos" w:eastAsia="Aptos"/>
          <w:sz w:val="17"/>
        </w:rPr>
        <w:t>[7] Peters and Schmidt 2004. Animals in the symbolic world of Pre-Pottery Neolithic Gobekli Tepe. Anthropozoologica. https://sciencepress.mnhn.fr/en/periodiques/anthropozoologica/39/1/les-animaux-dans-le-monde-symbolique-du-ppnb-de-gobekli-tepe-turquie-du-sud-est-premiere-evaluation</w:t>
      </w:r>
    </w:p>
    <w:p>
      <w:pPr>
        <w:ind w:left="360" w:hanging="360"/>
      </w:pPr>
      <w:r>
        <w:rPr>
          <w:rFonts w:ascii="Aptos" w:hAnsi="Aptos" w:eastAsia="Aptos"/>
          <w:sz w:val="17"/>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ind w:left="360" w:hanging="360"/>
      </w:pPr>
      <w:r>
        <w:rPr>
          <w:rFonts w:ascii="Aptos" w:hAnsi="Aptos" w:eastAsia="Aptos"/>
          <w:sz w:val="17"/>
        </w:rPr>
        <w:t>[9] DAI, The Tepe Telegrams. Ritual practices and conflict mitigation at early Neolithic Kortik Tepe and Gobekli Tepe. https://www.dainst.blog/the-tepe-telegrams/2019/03/12/new-publication-ritual-practices-and-conflict-mitigation-at-early-neolithic-kortik-tepe-and-gobekli-tepe/</w:t>
      </w:r>
    </w:p>
    <w:p>
      <w:pPr>
        <w:ind w:left="360" w:hanging="360"/>
      </w:pPr>
      <w:r>
        <w:rPr>
          <w:rFonts w:ascii="Aptos" w:hAnsi="Aptos" w:eastAsia="Aptos"/>
          <w:sz w:val="17"/>
        </w:rPr>
        <w:t>[10] Kinzel and colleagues. Built on Rock: reconstruction of the Neolithic topography of Gobekli Tepe. https://publications.dainst.org/journals/istmitt/article/view/4708/8479</w:t>
      </w:r>
    </w:p>
    <w:p>
      <w:pPr>
        <w:ind w:left="360" w:hanging="360"/>
      </w:pPr>
      <w:r>
        <w:rPr>
          <w:rFonts w:ascii="Aptos" w:hAnsi="Aptos" w:eastAsia="Aptos"/>
          <w:sz w:val="17"/>
        </w:rPr>
        <w:t>[11] DAI, The Tepe Telegrams. T-pillars and anthropomorphic features. https://www.dainst.blog/the-tepe-telegrams/tag/t-pillars/</w:t>
      </w:r>
    </w:p>
    <w:p>
      <w:pPr>
        <w:ind w:left="360" w:hanging="360"/>
      </w:pPr>
      <w:r>
        <w:rPr>
          <w:rFonts w:ascii="Aptos" w:hAnsi="Aptos" w:eastAsia="Aptos"/>
          <w:sz w:val="17"/>
        </w:rPr>
        <w:t>[12] The Tepe Telegrams. Current distribution of sites with T-shaped pillars. https://tepetelegrams.wordpress.com/2016/05/08/the-current-distribution-of-sites-with-t-shaped-pillars/</w:t>
      </w:r>
    </w:p>
    <w:p>
      <w:pPr>
        <w:ind w:left="360" w:hanging="360"/>
      </w:pPr>
      <w:r>
        <w:rPr>
          <w:rFonts w:ascii="Aptos" w:hAnsi="Aptos" w:eastAsia="Aptos"/>
          <w:sz w:val="17"/>
        </w:rPr>
        <w:t>[13] Smith 2001. Low-Level Food Production. Journal of Archaeological Research. https://faculty.washington.edu/stevehar/Smith%202001-%20Low%20Level%20food%20Production.pdf</w:t>
      </w:r>
    </w:p>
    <w:p>
      <w:pPr>
        <w:ind w:left="360" w:hanging="360"/>
      </w:pPr>
      <w:r>
        <w:rPr>
          <w:rFonts w:ascii="Aptos" w:hAnsi="Aptos" w:eastAsia="Aptos"/>
          <w:sz w:val="17"/>
        </w:rPr>
        <w:t>[14] Zeder 2011. The Origins of Agriculture in the Near East. Current Anthropology. https://www.journals.uchicago.edu/doi/10.1086/659307</w:t>
      </w:r>
    </w:p>
    <w:p>
      <w:pPr>
        <w:ind w:left="360" w:hanging="360"/>
      </w:pPr>
      <w:r>
        <w:rPr>
          <w:rFonts w:ascii="Aptos" w:hAnsi="Aptos" w:eastAsia="Aptos"/>
          <w:sz w:val="17"/>
        </w:rPr>
        <w:t>[15] International Commission on Stratigraphy. International Chronostratigraphic Chart and Holocene boundary. https://stratigraphy.org/chart</w:t>
      </w:r>
    </w:p>
    <w:p>
      <w:pPr>
        <w:ind w:left="360" w:hanging="360"/>
      </w:pPr>
      <w:r>
        <w:rPr>
          <w:rFonts w:ascii="Aptos" w:hAnsi="Aptos" w:eastAsia="Aptos"/>
          <w:sz w:val="17"/>
        </w:rPr>
        <w:t>[16] Knitter et al. 2019. Gobekli Tepe: A Brief Description of the Environmental Development in the Surroundings of the UNESCO World Heritage Site. Land. https://www.mdpi.com/2073-445X/8/4/72</w:t>
      </w:r>
    </w:p>
    <w:p>
      <w:pPr>
        <w:ind w:left="360" w:hanging="360"/>
      </w:pPr>
      <w:r>
        <w:rPr>
          <w:rFonts w:ascii="Aptos" w:hAnsi="Aptos" w:eastAsia="Aptos"/>
          <w:sz w:val="17"/>
        </w:rPr>
        <w:t>[17] Arranz-Otaegui et al. 2018. Archaeobotanical evidence reveals the origins of bread 14,400 years ago in northeastern Jordan. PNAS. https://www.pnas.org/doi/10.1073/pnas.1801071115</w:t>
      </w:r>
    </w:p>
    <w:p>
      <w:pPr>
        <w:ind w:left="360" w:hanging="360"/>
      </w:pPr>
      <w:r>
        <w:rPr>
          <w:rFonts w:ascii="Aptos" w:hAnsi="Aptos" w:eastAsia="Aptos"/>
          <w:sz w:val="17"/>
        </w:rPr>
        <w:t>[18] Lyman 1994. Vertebrate Taphonomy. Cambridge Manuals in Archaeology. https://www.cambridge.org/core/books/vertebrate-taphonomy/46D04213E462D5EAFF36C106EA192978</w:t>
      </w:r>
    </w:p>
    <w:p>
      <w:pPr>
        <w:ind w:left="360" w:hanging="360"/>
      </w:pPr>
      <w:r>
        <w:rPr>
          <w:rFonts w:ascii="Aptos" w:hAnsi="Aptos" w:eastAsia="Aptos"/>
          <w:sz w:val="17"/>
        </w:rPr>
        <w:t>[19] Brain 1981. The Hunters or the Hunted? An Introduction to African Cave Taphonomy. University of Chicago Press. https://www.bibliovault.org/BV.book.epl?ISBN=9780226070902</w:t>
      </w:r>
    </w:p>
    <w:p>
      <w:pPr>
        <w:ind w:left="360" w:hanging="360"/>
      </w:pPr>
      <w:r>
        <w:rPr>
          <w:rFonts w:ascii="Aptos" w:hAnsi="Aptos" w:eastAsia="Aptos"/>
          <w:sz w:val="17"/>
        </w:rPr>
        <w:t>[20] Marean and Spencer 1991. Impact of carnivore ravaging on zooarchaeological measures of element abundance. American Antiquity. https://doi.org/10.2307/281542</w:t>
      </w:r>
    </w:p>
    <w:p>
      <w:pPr>
        <w:ind w:left="360" w:hanging="360"/>
      </w:pPr>
      <w:r>
        <w:rPr>
          <w:rFonts w:ascii="Aptos" w:hAnsi="Aptos" w:eastAsia="Aptos"/>
          <w:sz w:val="17"/>
        </w:rPr>
        <w:t>[21] Conkey 1980. The Identification of Prehistoric Hunter-Gatherer Aggregation Sites: The Case of Altamira. Current Anthropology. https://www.journals.uchicago.edu/doi/abs/10.1086/202540</w:t>
      </w:r>
    </w:p>
    <w:p>
      <w:pPr>
        <w:ind w:left="360" w:hanging="360"/>
      </w:pPr>
      <w:r>
        <w:rPr>
          <w:rFonts w:ascii="Aptos" w:hAnsi="Aptos" w:eastAsia="Aptos"/>
          <w:sz w:val="17"/>
        </w:rPr>
        <w:t>[22] Schlanger 1992. Recognizing persistent places in Anasazi settlement systems. In Space, Time and Archaeological Landscapes. https://link.springer.com/chapter/10.1007/978-1-4899-2450-6_5</w:t>
      </w:r>
    </w:p>
    <w:p>
      <w:pPr>
        <w:ind w:left="360" w:hanging="360"/>
      </w:pPr>
      <w:r>
        <w:rPr>
          <w:rFonts w:ascii="Aptos" w:hAnsi="Aptos" w:eastAsia="Aptos"/>
          <w:sz w:val="17"/>
        </w:rPr>
        <w:t>[23] Bliege Bird and Smith 2005. Signaling Theory, Strategic Interaction, and Symbolic Capital. Current Anthropology. https://www.journals.uchicago.edu/doi/10.1086/427115</w:t>
      </w:r>
    </w:p>
    <w:p>
      <w:pPr>
        <w:ind w:left="360" w:hanging="360"/>
      </w:pPr>
      <w:r>
        <w:rPr>
          <w:rFonts w:ascii="Aptos" w:hAnsi="Aptos" w:eastAsia="Aptos"/>
          <w:sz w:val="17"/>
        </w:rPr>
        <w:t>[24] Winterhalder 1986. Diet choice, risk, and food sharing in a stochastic environment. Journal of Anthropological Archaeology. https://www.sciencedirect.com/science/article/pii/0278416586900176</w:t>
      </w:r>
    </w:p>
    <w:p>
      <w:pPr>
        <w:ind w:left="360" w:hanging="360"/>
      </w:pPr>
      <w:r>
        <w:rPr>
          <w:rFonts w:ascii="Aptos" w:hAnsi="Aptos" w:eastAsia="Aptos"/>
          <w:sz w:val="17"/>
        </w:rPr>
        <w:t>[25] Lyman 1994. Vertebrate Taphonomy. Cambridge Manuals in Archaeology. https://doi.org/10.1017/CBO9781139878302</w:t>
      </w:r>
    </w:p>
    <w:p>
      <w:pPr>
        <w:ind w:left="360" w:hanging="360"/>
      </w:pPr>
      <w:r>
        <w:rPr>
          <w:rFonts w:ascii="Aptos" w:hAnsi="Aptos" w:eastAsia="Aptos"/>
          <w:sz w:val="17"/>
        </w:rPr>
        <w:t>[26] Marean and Spencer 1991. Impact of carnivore ravaging on zooarchaeological measures of element abundance. American Antiquity. https://doi.org/10.2307/281542</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protected-processing thesis v0.978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eastAsia="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Gobekli Tepe and the First-Perceived-Wealth Problem v0.977</dc:title>
  <dc:subject>Protected processing, encounter management, and visible value conversion at the farming hinge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