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8"/>
        </w:rPr>
        <w:t>The Raider Trap Hypothesis v0.2</w:t>
      </w:r>
    </w:p>
    <w:p>
      <w:pPr>
        <w:jc w:val="center"/>
      </w:pPr>
      <w:r>
        <w:rPr>
          <w:i/>
          <w:sz w:val="23"/>
        </w:rPr>
        <w:t>Threat management as a functional layer inside the ceremonial system at Gobekli Tepe</w:t>
      </w:r>
    </w:p>
    <w:p>
      <w:pPr>
        <w:jc w:val="center"/>
      </w:pPr>
      <w:r>
        <w:rPr>
          <w:sz w:val="19"/>
        </w:rPr>
        <w:t>Working paper, v0.2 | May 2026</w:t>
      </w:r>
    </w:p>
    <w:p>
      <w:pPr>
        <w:pStyle w:val="Heading1"/>
      </w:pPr>
      <w:r>
        <w:t>Abstract</w:t>
      </w:r>
    </w:p>
    <w:p>
      <w:r>
        <w:t>This paper does not argue that Gobekli Tepe was primarily a fort, battlefield, or military installation. It proposes a functional layer inside the established ceremonial gathering model. During the early concentration of food, labor, symbolic capital, and regional visibility, communal ritual may also have managed the risks created by fixed wealth. Feasting, death practice, lineage display, animal imagery, ridge position, visitor gathering, and monumental architecture could have converted dangerous outsiders into guests, witnesses, rivals, allies, or short-burst raiders before siege dynamics formed. The hypothesis predicts mixed evidence of food processing, ritual closure, identity display, visitor management, symbolic intimidation, and regional interpersonal tension, rather than mass trauma or obvious siege debris at the core site. Current evidence supports the ceremonial-social model as primary. The Raider Trap layer remains a testable behavioral ecology enhancer.</w:t>
      </w:r>
    </w:p>
    <w:p>
      <w:r>
        <w:rPr>
          <w:i/>
        </w:rPr>
        <w:t>Keywords: Gobekli Tepe; Tas Tepeler; PPNA; Neolithic transition; ritual; feasting; threat management; raiding; food concentration; first-wealth problem.</w:t>
      </w:r>
    </w:p>
    <w:p>
      <w:pPr>
        <w:pStyle w:val="Heading1"/>
      </w:pPr>
      <w:r>
        <w:t>Claim status</w:t>
      </w:r>
    </w:p>
    <w:p>
      <w:pPr>
        <w:pStyle w:val="Heading2"/>
      </w:pPr>
      <w:r>
        <w:t>The safe thesis</w:t>
      </w:r>
    </w:p>
    <w:p>
      <w:r>
        <w:t>Gobekli Tepe was most likely a ceremonial gathering system with strong ritual, feasting, death-practice, identity, and regional-symbolic roles. The Raider Trap Hypothesis does not replace that model. It asks whether those same roles also worked as a risk-management system during the early concentration of food and labor.</w:t>
      </w:r>
    </w:p>
    <w:p>
      <w:pPr>
        <w:pStyle w:val="Heading2"/>
      </w:pPr>
      <w:r>
        <w:t>The added layer</w:t>
      </w:r>
    </w:p>
    <w:p>
      <w:r>
        <w:t>Fixed food and fixed buildings created a new target. A farm or semi-settled food center could not survive by passive fortification alone, because walls can teach enemies to wait. The adaptive task was to make outsiders pass through managed roles before hostile behavior could become a patient siege.</w:t>
      </w:r>
    </w:p>
    <w:p>
      <w:pPr>
        <w:pStyle w:val="Heading2"/>
      </w:pPr>
      <w:r>
        <w:t>The sub-mechanism</w:t>
      </w:r>
    </w:p>
    <w:p>
      <w:r>
        <w:t>The site may have converted outsiders into guests, witnesses, rivals, allies, affines, trade partners, or failed short-burst raiders. A failed raid leaves a story. A converted outsider leaves with obligations. Both outcomes are better for an early food group than a slow siege.</w:t>
      </w:r>
    </w:p>
    <w:p>
      <w:pPr>
        <w:pStyle w:val="Heading1"/>
      </w:pPr>
      <w:r>
        <w:t>1. The first-wealth problem</w:t>
      </w:r>
    </w:p>
    <w:p>
      <w:pPr>
        <w:pStyle w:val="Heading2"/>
      </w:pPr>
      <w:r>
        <w:t>Food as a new stationary prize</w:t>
      </w:r>
    </w:p>
    <w:p>
      <w:r>
        <w:t>Mobile foragers deal with food spread across seasons, paths, water, animals, plants, and memory. Early cultivation, food processing, storage, resident labor, and monumentality changed that. They gathered value into a fixed place. This paper calls that the first-wealth problem: a human group becomes worth raiding because its food, people, tools, ritual capital, and memory now have an address.</w:t>
      </w:r>
    </w:p>
    <w:p>
      <w:pPr>
        <w:pStyle w:val="Heading2"/>
      </w:pPr>
      <w:r>
        <w:t>Why fortification is not enough</w:t>
      </w:r>
    </w:p>
    <w:p>
      <w:r>
        <w:t>A wall is useful only if attackers remain impatient. Against a patient hostile group, passive enclosure risks becoming a siege trap. Therefore the older defensive question, "How do we keep them out?", is incomplete. The deeper question is, "How do we shape what outsiders try to do?"</w:t>
      </w:r>
    </w:p>
    <w:p>
      <w:pPr>
        <w:pStyle w:val="Heading2"/>
      </w:pPr>
      <w:r>
        <w:t>Why ritual matters to defense</w:t>
      </w:r>
    </w:p>
    <w:p>
      <w:r>
        <w:t>Ritual is often treated as separate from survival. At the farming hinge, that split may be artificial. A gathering system that binds kin, hosts strangers, feeds allies, performs death, displays animals, and stages memory also manages danger. It can make the site attractive, legible, intimidating, obligatory, and hard to attack without social cost.</w:t>
      </w:r>
    </w:p>
    <w:p>
      <w:pPr>
        <w:pStyle w:val="Heading1"/>
      </w:pPr>
      <w:r>
        <w:t>2. Site and evidence setting</w:t>
      </w:r>
    </w:p>
    <w:p>
      <w:pPr>
        <w:pStyle w:val="Heading2"/>
      </w:pPr>
      <w:r>
        <w:t>Date and setting</w:t>
      </w:r>
    </w:p>
    <w:p>
      <w:r>
        <w:t>UNESCO places Gobekli Tepe in the Germus mountains of southeastern Anatolia and dates its monumental round-oval and rectangular megalithic structures to the Pre-Pottery Neolithic, about 9600 to 8200 BCE. UNESCO describes the T-shaped pillars as carved with wild animals and states that the monuments were probably used in ritual contexts, most likely funerary [1].</w:t>
      </w:r>
    </w:p>
    <w:p>
      <w:pPr>
        <w:pStyle w:val="Heading2"/>
      </w:pPr>
      <w:r>
        <w:t>Cereal processing and gathering capacity</w:t>
      </w:r>
    </w:p>
    <w:p>
      <w:r>
        <w:t>Dietrich et al. report extensive cereal-processing evidence at Gobekli Tepe, including grinding stones and stone vessels. This supports a setting in which food processing and communal consumption were not marginal add-ons but part of the site economy and gathering system [2].</w:t>
      </w:r>
    </w:p>
    <w:p>
      <w:pPr>
        <w:pStyle w:val="Heading2"/>
      </w:pPr>
      <w:r>
        <w:t>Death practice and skull work</w:t>
      </w:r>
    </w:p>
    <w:p>
      <w:r>
        <w:t>Gresky et al. report modified human crania from Gobekli Tepe and interpret them as evidence for a new form of Neolithic skull practice. This does not prove raiding. It does show that death, body display, memory, and social authority were active parts of the site world [3].</w:t>
      </w:r>
    </w:p>
    <w:p>
      <w:pPr>
        <w:pStyle w:val="Heading2"/>
      </w:pPr>
      <w:r>
        <w:t>A wider ritual-social landscape</w:t>
      </w:r>
    </w:p>
    <w:p>
      <w:r>
        <w:t>Recent Tas Tepeler finds reported in 2025 and 2026 include statues, figurines, vessels, beads, human figures, animal depictions, and expressive death-linked objects from Gobeklitepe, Karahantepe, and related sites. These finds strengthen the picture of a shared ritual-social landscape rather than a one-role military installation [6, 7].</w:t>
      </w:r>
    </w:p>
    <w:p>
      <w:pPr>
        <w:pStyle w:val="Heading2"/>
      </w:pPr>
      <w:r>
        <w:t>Violence background</w:t>
      </w:r>
    </w:p>
    <w:p>
      <w:r>
        <w:t>Kortik Tepe provides a nearby early Neolithic caution. The 2019 Cambridge chapter discusses heightened interpersonal violence and homicide there while noting that evidence for between-group warfare is not present in the same way. This does not prove raids at Gobekli Tepe. It does support a region where ritual and conflict management may have mattered [4].</w:t>
      </w:r>
    </w:p>
    <w:p>
      <w:pPr>
        <w:pStyle w:val="Heading2"/>
      </w:pPr>
      <w:r>
        <w:t>Temple-only caution</w:t>
      </w:r>
    </w:p>
    <w:p>
      <w:r>
        <w:t>Banning argued that strict temple-versus-house categories can mislead interpretation at Gobekli Tepe, because symbolically rich buildings can also be socially and domestically embedded. This paper follows that caution by avoiding a one-role reading [5].</w:t>
      </w:r>
    </w:p>
    <w:p>
      <w:pPr>
        <w:pStyle w:val="Heading1"/>
      </w:pPr>
      <w:r>
        <w:t>3. Hypothesis</w:t>
      </w:r>
    </w:p>
    <w:p>
      <w:pPr>
        <w:pStyle w:val="Heading2"/>
      </w:pPr>
      <w:r>
        <w:t>Formal statement</w:t>
      </w:r>
    </w:p>
    <w:p>
      <w:r>
        <w:t>The Raider Trap Hypothesis v0.2 proposes that Gobekli Tepe operated primarily as a ceremonial gathering and identity system, while also serving as a threat-management layer in the early food-concentration phase. Its ritual, feasting, death-practice, animal imagery, visibility, and architectural staging may have lowered the chance that hostile outsiders became patient besiegers.</w:t>
      </w:r>
    </w:p>
    <w:p>
      <w:pPr>
        <w:pStyle w:val="Heading2"/>
      </w:pPr>
      <w:r>
        <w:t>What the thesis does not claim</w:t>
      </w:r>
    </w:p>
    <w:p>
      <w:r>
        <w:t>It does not claim that Gobekli Tepe was primarily a fort. It does not claim that the main enclosures were battle arenas. It does not claim that current evidence proves raids, siege damage, weapon caches, or trauma clusters at the core site.</w:t>
      </w:r>
    </w:p>
    <w:p>
      <w:pPr>
        <w:pStyle w:val="Heading2"/>
      </w:pPr>
      <w:r>
        <w:t>What the thesis does claim</w:t>
      </w:r>
    </w:p>
    <w:p>
      <w:r>
        <w:t>It claims that the ceremonial model and threat-management model can be compatible. The site can be a ritual gathering center and also shape hostile behavior. In this version, defense is not a separate military function. It is embedded in hospitality, spectacle, memory, kin display, food sharing, and intimidation.</w:t>
      </w:r>
    </w:p>
    <w:p>
      <w:pPr>
        <w:pStyle w:val="Heading1"/>
      </w:pPr>
      <w:r>
        <w:t>4. Mechanism: converting outsiders before siege dynamics form</w:t>
      </w:r>
    </w:p>
    <w:p>
      <w:pPr>
        <w:pStyle w:val="Heading2"/>
      </w:pPr>
      <w:r>
        <w:t>Attraction</w:t>
      </w:r>
    </w:p>
    <w:p>
      <w:r>
        <w:t>The site must be worth visiting. Ridge position, animal imagery, monumental pillars, food events, death practice, and repeated gatherings make Gobekli Tepe socially magnetic. A boring bunker does not convert strangers. A powerful gathering place can.</w:t>
      </w:r>
    </w:p>
    <w:p>
      <w:pPr>
        <w:pStyle w:val="Heading2"/>
      </w:pPr>
      <w:r>
        <w:t>Sorting</w:t>
      </w:r>
    </w:p>
    <w:p>
      <w:r>
        <w:t>Visitors can arrive as kin, guests, rivals, scouts, exchange partners, ritual witnesses, or potential thieves. The site sorts behavior through hospitality, obligation, staging, and watchfulness. A person who eats at a feast or witnesses ancestor display is not in the same social position as a stranger hiding at the edge of a field.</w:t>
      </w:r>
    </w:p>
    <w:p>
      <w:pPr>
        <w:pStyle w:val="Heading2"/>
      </w:pPr>
      <w:r>
        <w:t>Channeling</w:t>
      </w:r>
    </w:p>
    <w:p>
      <w:r>
        <w:t>Architecture can shape movement without looking like a fortress. Thresholds, benches, roofed areas, timber screens, approach paths, raised views, and enclosed spaces could have produced local advantage if danger appeared. Because much timber is gone, this remains a reconstructive prediction rather than a demonstrated fact.</w:t>
      </w:r>
    </w:p>
    <w:p>
      <w:pPr>
        <w:pStyle w:val="Heading2"/>
      </w:pPr>
      <w:r>
        <w:t>Intimidation</w:t>
      </w:r>
    </w:p>
    <w:p>
      <w:r>
        <w:t>Dangerous animals, anthropomorphic pillars, skull practice, and lineage display may have acted as symbolic pressure. This is not decoration versus function. It is function through symbol. The site can tell outsiders: this place has food, dead, kin, watchers, stories, and consequences.</w:t>
      </w:r>
    </w:p>
    <w:p>
      <w:pPr>
        <w:pStyle w:val="Heading2"/>
      </w:pPr>
      <w:r>
        <w:t>Memory</w:t>
      </w:r>
    </w:p>
    <w:p>
      <w:r>
        <w:t>A failed raid need not leave a mass grave. It can leave repairs, deposits, stories, scarred objects, altered access rules, or later ritual emphasis. A working deterrent system should reduce visible disasters at the defended core.</w:t>
      </w:r>
    </w:p>
    <w:p>
      <w:pPr>
        <w:pStyle w:val="Heading1"/>
      </w:pPr>
      <w:r>
        <w:t>5. Why lack of mass trauma does not defeat the layer</w:t>
      </w:r>
    </w:p>
    <w:p>
      <w:pPr>
        <w:pStyle w:val="Heading2"/>
      </w:pPr>
      <w:r>
        <w:t>The wrong expected signal</w:t>
      </w:r>
    </w:p>
    <w:p>
      <w:r>
        <w:t>If the model predicted a battlefield, then absence of mass trauma would be a major problem. But v0.2 predicts episodic threat management, not constant warfare. The main risk is rare but catastrophic: a siege or destructive raid that ends the food group.</w:t>
      </w:r>
    </w:p>
    <w:p>
      <w:pPr>
        <w:pStyle w:val="Heading2"/>
      </w:pPr>
      <w:r>
        <w:t>After-event handling</w:t>
      </w:r>
    </w:p>
    <w:p>
      <w:r>
        <w:t>If defenders won a raid, bodies could be removed, reused, displayed elsewhere, buried selectively, or folded into later ritual. Damaged timber could vanish. Stone could be repaired or rebuilt. Later fill could overwrite the event. The absence of a dramatic battle layer is not proof that threat management was absent.</w:t>
      </w:r>
    </w:p>
    <w:p>
      <w:pPr>
        <w:pStyle w:val="Heading2"/>
      </w:pPr>
      <w:r>
        <w:t>Low-frequency selection</w:t>
      </w:r>
    </w:p>
    <w:p>
      <w:r>
        <w:t>A hazard does not need to happen every year to shape behavior. Floods, droughts, fires, and raids can all be rare and still structure architecture, ritual calendars, and social alliances. A farm-ending event every few generations is enough to matter.</w:t>
      </w:r>
    </w:p>
    <w:p>
      <w:pPr>
        <w:pStyle w:val="Heading1"/>
      </w:pPr>
      <w:r>
        <w:t>6. Evidence rank</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top"/>
            <w:shd w:fill="D9EAF7"/>
          </w:tcPr>
          <w:p>
            <w:pPr>
              <w:spacing w:after="0" w:line="252" w:lineRule="auto"/>
            </w:pPr>
            <w:r/>
            <w:r>
              <w:rPr>
                <w:b/>
                <w:sz w:val="18"/>
              </w:rPr>
              <w:t>Rank</w:t>
            </w:r>
          </w:p>
        </w:tc>
        <w:tc>
          <w:tcPr>
            <w:tcW w:type="dxa" w:w="2469"/>
            <w:vAlign w:val="top"/>
            <w:shd w:fill="D9EAF7"/>
          </w:tcPr>
          <w:p>
            <w:pPr>
              <w:spacing w:after="0" w:line="252" w:lineRule="auto"/>
            </w:pPr>
            <w:r/>
            <w:r>
              <w:rPr>
                <w:b/>
                <w:sz w:val="18"/>
              </w:rPr>
              <w:t>Claim</w:t>
            </w:r>
          </w:p>
        </w:tc>
        <w:tc>
          <w:tcPr>
            <w:tcW w:type="dxa" w:w="2469"/>
            <w:vAlign w:val="top"/>
            <w:shd w:fill="D9EAF7"/>
          </w:tcPr>
          <w:p>
            <w:pPr>
              <w:spacing w:after="0" w:line="252" w:lineRule="auto"/>
            </w:pPr>
            <w:r/>
            <w:r>
              <w:rPr>
                <w:b/>
                <w:sz w:val="18"/>
              </w:rPr>
              <w:t>Evidence status</w:t>
            </w:r>
          </w:p>
        </w:tc>
        <w:tc>
          <w:tcPr>
            <w:tcW w:type="dxa" w:w="2469"/>
            <w:vAlign w:val="top"/>
            <w:shd w:fill="D9EAF7"/>
          </w:tcPr>
          <w:p>
            <w:pPr>
              <w:spacing w:after="0" w:line="252" w:lineRule="auto"/>
            </w:pPr>
            <w:r/>
            <w:r>
              <w:rPr>
                <w:b/>
                <w:sz w:val="18"/>
              </w:rPr>
              <w:t>Use in v0.2</w:t>
            </w:r>
          </w:p>
        </w:tc>
      </w:tr>
      <w:tr>
        <w:tc>
          <w:tcPr>
            <w:tcW w:type="dxa" w:w="2469"/>
            <w:vAlign w:val="top"/>
          </w:tcPr>
          <w:p>
            <w:pPr>
              <w:spacing w:after="0" w:line="252" w:lineRule="auto"/>
            </w:pPr>
            <w:r/>
            <w:r>
              <w:rPr>
                <w:b w:val="0"/>
                <w:sz w:val="18"/>
              </w:rPr>
              <w:t>Primary</w:t>
            </w:r>
          </w:p>
        </w:tc>
        <w:tc>
          <w:tcPr>
            <w:tcW w:type="dxa" w:w="2469"/>
            <w:vAlign w:val="top"/>
          </w:tcPr>
          <w:p>
            <w:pPr>
              <w:spacing w:after="0" w:line="252" w:lineRule="auto"/>
            </w:pPr>
            <w:r/>
            <w:r>
              <w:rPr>
                <w:b w:val="0"/>
                <w:sz w:val="18"/>
              </w:rPr>
              <w:t>Ceremonial gathering, feasting, death practice, social identity, symbolic network.</w:t>
            </w:r>
          </w:p>
        </w:tc>
        <w:tc>
          <w:tcPr>
            <w:tcW w:type="dxa" w:w="2469"/>
            <w:vAlign w:val="top"/>
          </w:tcPr>
          <w:p>
            <w:pPr>
              <w:spacing w:after="0" w:line="252" w:lineRule="auto"/>
            </w:pPr>
            <w:r/>
            <w:r>
              <w:rPr>
                <w:b w:val="0"/>
                <w:sz w:val="18"/>
              </w:rPr>
              <w:t>Strongest current fit. Supported by site form, imagery, food processing, skull practice, and Tas Tepeler material.</w:t>
            </w:r>
          </w:p>
        </w:tc>
        <w:tc>
          <w:tcPr>
            <w:tcW w:type="dxa" w:w="2469"/>
            <w:vAlign w:val="top"/>
          </w:tcPr>
          <w:p>
            <w:pPr>
              <w:spacing w:after="0" w:line="252" w:lineRule="auto"/>
            </w:pPr>
            <w:r/>
            <w:r>
              <w:rPr>
                <w:b w:val="0"/>
                <w:sz w:val="18"/>
              </w:rPr>
              <w:t>Baseline model. The paper accepts it.</w:t>
            </w:r>
          </w:p>
        </w:tc>
      </w:tr>
      <w:tr>
        <w:tc>
          <w:tcPr>
            <w:tcW w:type="dxa" w:w="2469"/>
            <w:vAlign w:val="top"/>
          </w:tcPr>
          <w:p>
            <w:pPr>
              <w:spacing w:after="0" w:line="252" w:lineRule="auto"/>
            </w:pPr>
            <w:r/>
            <w:r>
              <w:rPr>
                <w:b w:val="0"/>
                <w:sz w:val="18"/>
              </w:rPr>
              <w:t>Secondary</w:t>
            </w:r>
          </w:p>
        </w:tc>
        <w:tc>
          <w:tcPr>
            <w:tcW w:type="dxa" w:w="2469"/>
            <w:vAlign w:val="top"/>
          </w:tcPr>
          <w:p>
            <w:pPr>
              <w:spacing w:after="0" w:line="252" w:lineRule="auto"/>
            </w:pPr>
            <w:r/>
            <w:r>
              <w:rPr>
                <w:b w:val="0"/>
                <w:sz w:val="18"/>
              </w:rPr>
              <w:t>Threat management from early food, labor, and visibility concentration.</w:t>
            </w:r>
          </w:p>
        </w:tc>
        <w:tc>
          <w:tcPr>
            <w:tcW w:type="dxa" w:w="2469"/>
            <w:vAlign w:val="top"/>
          </w:tcPr>
          <w:p>
            <w:pPr>
              <w:spacing w:after="0" w:line="252" w:lineRule="auto"/>
            </w:pPr>
            <w:r/>
            <w:r>
              <w:rPr>
                <w:b w:val="0"/>
                <w:sz w:val="18"/>
              </w:rPr>
              <w:t>Compatible but not directly proven. Supported by behavioral logic and regional violence context.</w:t>
            </w:r>
          </w:p>
        </w:tc>
        <w:tc>
          <w:tcPr>
            <w:tcW w:type="dxa" w:w="2469"/>
            <w:vAlign w:val="top"/>
          </w:tcPr>
          <w:p>
            <w:pPr>
              <w:spacing w:after="0" w:line="252" w:lineRule="auto"/>
            </w:pPr>
            <w:r/>
            <w:r>
              <w:rPr>
                <w:b w:val="0"/>
                <w:sz w:val="18"/>
              </w:rPr>
              <w:t>Functional layer inside the ceremonial system.</w:t>
            </w:r>
          </w:p>
        </w:tc>
      </w:tr>
      <w:tr>
        <w:tc>
          <w:tcPr>
            <w:tcW w:type="dxa" w:w="2469"/>
            <w:vAlign w:val="top"/>
          </w:tcPr>
          <w:p>
            <w:pPr>
              <w:spacing w:after="0" w:line="252" w:lineRule="auto"/>
            </w:pPr>
            <w:r/>
            <w:r>
              <w:rPr>
                <w:b w:val="0"/>
                <w:sz w:val="18"/>
              </w:rPr>
              <w:t>Sub-mechanism</w:t>
            </w:r>
          </w:p>
        </w:tc>
        <w:tc>
          <w:tcPr>
            <w:tcW w:type="dxa" w:w="2469"/>
            <w:vAlign w:val="top"/>
          </w:tcPr>
          <w:p>
            <w:pPr>
              <w:spacing w:after="0" w:line="252" w:lineRule="auto"/>
            </w:pPr>
            <w:r/>
            <w:r>
              <w:rPr>
                <w:b w:val="0"/>
                <w:sz w:val="18"/>
              </w:rPr>
              <w:t>Convert outsiders into guests, witnesses, rivals, allies, or failed short-burst raiders before siege dynamics form.</w:t>
            </w:r>
          </w:p>
        </w:tc>
        <w:tc>
          <w:tcPr>
            <w:tcW w:type="dxa" w:w="2469"/>
            <w:vAlign w:val="top"/>
          </w:tcPr>
          <w:p>
            <w:pPr>
              <w:spacing w:after="0" w:line="252" w:lineRule="auto"/>
            </w:pPr>
            <w:r/>
            <w:r>
              <w:rPr>
                <w:b w:val="0"/>
                <w:sz w:val="18"/>
              </w:rPr>
              <w:t>Testable but not yet demonstrated. Needs access, visitor, damage, and regional conflict proxies.</w:t>
            </w:r>
          </w:p>
        </w:tc>
        <w:tc>
          <w:tcPr>
            <w:tcW w:type="dxa" w:w="2469"/>
            <w:vAlign w:val="top"/>
          </w:tcPr>
          <w:p>
            <w:pPr>
              <w:spacing w:after="0" w:line="252" w:lineRule="auto"/>
            </w:pPr>
            <w:r/>
            <w:r>
              <w:rPr>
                <w:b w:val="0"/>
                <w:sz w:val="18"/>
              </w:rPr>
              <w:t>The distinctive contribution.</w:t>
            </w:r>
          </w:p>
        </w:tc>
      </w:tr>
      <w:tr>
        <w:tc>
          <w:tcPr>
            <w:tcW w:type="dxa" w:w="2469"/>
            <w:vAlign w:val="top"/>
          </w:tcPr>
          <w:p>
            <w:pPr>
              <w:spacing w:after="0" w:line="252" w:lineRule="auto"/>
            </w:pPr>
            <w:r/>
            <w:r>
              <w:rPr>
                <w:b w:val="0"/>
                <w:sz w:val="18"/>
              </w:rPr>
              <w:t>Rejected strong claim</w:t>
            </w:r>
          </w:p>
        </w:tc>
        <w:tc>
          <w:tcPr>
            <w:tcW w:type="dxa" w:w="2469"/>
            <w:vAlign w:val="top"/>
          </w:tcPr>
          <w:p>
            <w:pPr>
              <w:spacing w:after="0" w:line="252" w:lineRule="auto"/>
            </w:pPr>
            <w:r/>
            <w:r>
              <w:rPr>
                <w:b w:val="0"/>
                <w:sz w:val="18"/>
              </w:rPr>
              <w:t>Gobekli Tepe was primarily a fort or battlefield.</w:t>
            </w:r>
          </w:p>
        </w:tc>
        <w:tc>
          <w:tcPr>
            <w:tcW w:type="dxa" w:w="2469"/>
            <w:vAlign w:val="top"/>
          </w:tcPr>
          <w:p>
            <w:pPr>
              <w:spacing w:after="0" w:line="252" w:lineRule="auto"/>
            </w:pPr>
            <w:r/>
            <w:r>
              <w:rPr>
                <w:b w:val="0"/>
                <w:sz w:val="18"/>
              </w:rPr>
              <w:t>Not supported by current evidence.</w:t>
            </w:r>
          </w:p>
        </w:tc>
        <w:tc>
          <w:tcPr>
            <w:tcW w:type="dxa" w:w="2469"/>
            <w:vAlign w:val="top"/>
          </w:tcPr>
          <w:p>
            <w:pPr>
              <w:spacing w:after="0" w:line="252" w:lineRule="auto"/>
            </w:pPr>
            <w:r/>
            <w:r>
              <w:rPr>
                <w:b w:val="0"/>
                <w:sz w:val="18"/>
              </w:rPr>
              <w:t>Not argued here.</w:t>
            </w:r>
          </w:p>
        </w:tc>
      </w:tr>
    </w:tbl>
    <w:p/>
    <w:p>
      <w:pPr>
        <w:pStyle w:val="Heading1"/>
      </w:pPr>
      <w:r>
        <w:t>7. Predictions</w:t>
      </w:r>
    </w:p>
    <w:p>
      <w:pPr>
        <w:pStyle w:val="Heading2"/>
      </w:pPr>
      <w:r>
        <w:t>Access and movement</w:t>
      </w:r>
    </w:p>
    <w:p>
      <w:r>
        <w:t>The model gains strength if future work identifies controlled movement routes, threshold systems, unusual repair at access points, or spatial patterns that would let insiders observe or channel visitors better than visitors could observe insiders.</w:t>
      </w:r>
    </w:p>
    <w:p>
      <w:pPr>
        <w:pStyle w:val="Heading2"/>
      </w:pPr>
      <w:r>
        <w:t>Projectile and damage patterns</w:t>
      </w:r>
    </w:p>
    <w:p>
      <w:r>
        <w:t>The model gains strength if projectile points, impact damage, or breakage patterns cluster in approach routes, entrances, exterior slopes, or fill episodes in ways not explained by hunting, quarrying, collapse, or later disturbance.</w:t>
      </w:r>
    </w:p>
    <w:p>
      <w:pPr>
        <w:pStyle w:val="Heading2"/>
      </w:pPr>
      <w:r>
        <w:t>Visitor signatures</w:t>
      </w:r>
    </w:p>
    <w:p>
      <w:r>
        <w:t>The model gains strength if isotopes, lithic sourcing, food residues, or other proxies show repeated non-local attendance, differentiated visitor roles, or patterned deposition after high-intensity events.</w:t>
      </w:r>
    </w:p>
    <w:p>
      <w:pPr>
        <w:pStyle w:val="Heading2"/>
      </w:pPr>
      <w:r>
        <w:t>Conflict timing</w:t>
      </w:r>
    </w:p>
    <w:p>
      <w:r>
        <w:t>The model gains strength if regional evidence links early food concentration with interpersonal violence, raid-risk proxies, defensive staging, or ritual mitigation across related sites.</w:t>
      </w:r>
    </w:p>
    <w:p>
      <w:pPr>
        <w:pStyle w:val="Heading2"/>
      </w:pPr>
      <w:r>
        <w:t>Timber reconstruction</w:t>
      </w:r>
    </w:p>
    <w:p>
      <w:r>
        <w:t>The model gains strength if building archaeology supports roofs, screens, elevated views, gates, or other perishable architecture that would make the enclosures more tactically staged than stone plans alone suggest.</w:t>
      </w:r>
    </w:p>
    <w:p>
      <w:pPr>
        <w:pStyle w:val="Heading1"/>
      </w:pPr>
      <w:r>
        <w:t>8. Limits and falsifiability</w:t>
      </w:r>
    </w:p>
    <w:p>
      <w:pPr>
        <w:pStyle w:val="Heading2"/>
      </w:pPr>
      <w:r>
        <w:t>Main limits</w:t>
      </w:r>
    </w:p>
    <w:p>
      <w:r>
        <w:t>As of this draft, no direct raid layer, siege damage, weapon cache, core trauma cluster, or proven defensive threshold system has been reported from Gobekli Tepe. Projectile points are not enough by themselves, because hunting and daily activity are strong alternative explanations.</w:t>
      </w:r>
    </w:p>
    <w:p>
      <w:pPr>
        <w:pStyle w:val="Heading2"/>
      </w:pPr>
      <w:r>
        <w:t>Why the rank remains secondary</w:t>
      </w:r>
    </w:p>
    <w:p>
      <w:r>
        <w:t>The strongest evidence still supports ceremonial gathering, feasting, death practice, social identity, and regional symbolic networks as the main interpretive frame. The Raider Trap layer is a compatible enhancer, not the core model.</w:t>
      </w:r>
    </w:p>
    <w:p>
      <w:pPr>
        <w:pStyle w:val="Heading2"/>
      </w:pPr>
      <w:r>
        <w:t>What would weaken the hypothesis</w:t>
      </w:r>
    </w:p>
    <w:p>
      <w:r>
        <w:t>The layer would weaken if future work shows that visitor movement was not managed, timber additions did not shape access or visibility, regional violence proxies remain absent, food concentration was too limited to attract predation, or deposition sequences fit ritual closure without any conflict-related timing.</w:t>
      </w:r>
    </w:p>
    <w:p>
      <w:pPr>
        <w:pStyle w:val="Heading2"/>
      </w:pPr>
      <w:r>
        <w:t>What would falsify the strong version</w:t>
      </w:r>
    </w:p>
    <w:p>
      <w:r>
        <w:t>A strong version claiming main military aim would already be overextended. This paper rejects that version. The modest version would be falsified only if the site and region showed no plausible food concentration, no visitor staging, no social tension, and no architectural capacity to shape dangerous encounters.</w:t>
      </w:r>
    </w:p>
    <w:p>
      <w:pPr>
        <w:pStyle w:val="Heading1"/>
      </w:pPr>
      <w:r>
        <w:t>9. Fit with mainstream models</w:t>
      </w:r>
    </w:p>
    <w:p>
      <w:pPr>
        <w:pStyle w:val="Heading2"/>
      </w:pPr>
      <w:r>
        <w:t>Why the model fits</w:t>
      </w:r>
    </w:p>
    <w:p>
      <w:r>
        <w:t>The primary ceremonial model explains why people gathered. The Raider Trap layer asks what that gathering did under risk. Social cohesion, death work, feasting, animal imagery, and lineage display can be both ritual and practical.</w:t>
      </w:r>
    </w:p>
    <w:p>
      <w:pPr>
        <w:pStyle w:val="Heading2"/>
      </w:pPr>
      <w:r>
        <w:t>Why the model does not overturn the field</w:t>
      </w:r>
    </w:p>
    <w:p>
      <w:r>
        <w:t>Current evidence does not require raiding as a main cause. Monumental investment, ridge visibility, animal imagery, skull work, and feasting already fit identity bonding and ritual display. The Raider Trap layer adds survival logic to those features without replacing their ritual meaning.</w:t>
      </w:r>
    </w:p>
    <w:p>
      <w:pPr>
        <w:pStyle w:val="Heading2"/>
      </w:pPr>
      <w:r>
        <w:t>Best current rank</w:t>
      </w:r>
    </w:p>
    <w:p>
      <w:r>
        <w:t>Primary: ceremonial gathering, feasting, death practice, social identity, symbolic network. Secondary: threat management from early fixed wealth. Sub-mechanism: outsiders are safer when converted into guests, witnesses, rivals, allies, or failed short-raid actors before they become besiegers.</w:t>
      </w:r>
    </w:p>
    <w:p>
      <w:pPr>
        <w:pStyle w:val="Heading1"/>
      </w:pPr>
      <w:r>
        <w:t>10. Conclusion</w:t>
      </w:r>
    </w:p>
    <w:p>
      <w:r>
        <w:t>The Raider Trap Hypothesis v0.2 is not a claim that Gobekli Tepe was secretly a fortress. It is a claim about multi-role architecture at the farming hinge. When food, labor, dead, stories, and stone gathered in one visible place, the social system had to manage attraction and danger together. Ritual may have been the operating system for surviving the first dangerous wealth.</w:t>
      </w:r>
    </w:p>
    <w:p>
      <w:pPr>
        <w:pStyle w:val="Heading1"/>
      </w:pPr>
      <w:r>
        <w:t>References</w:t>
      </w:r>
    </w:p>
    <w:p>
      <w:pPr>
        <w:spacing w:after="60" w:line="240" w:lineRule="auto"/>
      </w:pPr>
      <w:r>
        <w:rPr>
          <w:sz w:val="17"/>
        </w:rPr>
        <w:t xml:space="preserve">[1] UNESCO World Heritage Centre. Gobekli Tepe. World Heritage List, property 1572. </w:t>
      </w:r>
      <w:hyperlink r:id="rId9">
        <w:r>
          <w:rPr>
            <w:color w:val="0563C1"/>
            <w:u w:val="single"/>
          </w:rPr>
          <w:t>https://whc.unesco.org/en/list/1572/</w:t>
        </w:r>
      </w:hyperlink>
    </w:p>
    <w:p>
      <w:pPr>
        <w:spacing w:after="60" w:line="240" w:lineRule="auto"/>
      </w:pPr>
      <w:r>
        <w:rPr>
          <w:sz w:val="17"/>
        </w:rPr>
        <w:t xml:space="preserve">[2] Dietrich, L., Meister, J., Dietrich, O., Notroff, J., Kiep, J., Heeb, J., Beuger, A., and Schutt, B. 2019. Cereal processing at Early Neolithic Gobekli Tepe, southeastern Anatolia. PLOS ONE 14(5): e0215214. </w:t>
      </w:r>
      <w:hyperlink r:id="rId10">
        <w:r>
          <w:rPr>
            <w:color w:val="0563C1"/>
            <w:u w:val="single"/>
          </w:rPr>
          <w:t>https://journals.plos.org/plosone/article?id=10.1371/journal.pone.0215214</w:t>
        </w:r>
      </w:hyperlink>
    </w:p>
    <w:p>
      <w:pPr>
        <w:spacing w:after="60" w:line="240" w:lineRule="auto"/>
      </w:pPr>
      <w:r>
        <w:rPr>
          <w:sz w:val="17"/>
        </w:rPr>
        <w:t xml:space="preserve">[3] Gresky, J. et al. 2017. Modified human crania from Gobekli Tepe provide evidence for a new form of Neolithic skull cult. Science Advances 3(6): e1700564. </w:t>
      </w:r>
      <w:hyperlink r:id="rId11">
        <w:r>
          <w:rPr>
            <w:color w:val="0563C1"/>
            <w:u w:val="single"/>
          </w:rPr>
          <w:t>https://www.science.org/doi/10.1126/sciadv.1700564</w:t>
        </w:r>
      </w:hyperlink>
    </w:p>
    <w:p>
      <w:pPr>
        <w:spacing w:after="60" w:line="240" w:lineRule="auto"/>
      </w:pPr>
      <w:r>
        <w:rPr>
          <w:sz w:val="17"/>
        </w:rPr>
        <w:t xml:space="preserve">[4] 2019. Ritual Practices and Conflict Mitigation at Early Neolithic Kortik Tepe and Gobekli Tepe, Upper Mesopotamia. In Ian Hodder, ed., Violence and the Sacred in the Ancient Near East. Cambridge University Press. </w:t>
      </w:r>
      <w:hyperlink r:id="rId12">
        <w:r>
          <w:rPr>
            <w:color w:val="0563C1"/>
            <w:u w:val="single"/>
          </w:rPr>
          <w:t>https://www.cambridge.org/core/books/violence-and-the-sacred-in-the-ancient-near-east/ritual-practices-and-conflict-mitigation-at-early-neolithic-kortik-tepe-and-gobekli-tepe-upper-mesopotamia/7D89ABA0D934E5E5616D1552466AAFC4</w:t>
        </w:r>
      </w:hyperlink>
    </w:p>
    <w:p>
      <w:pPr>
        <w:spacing w:after="60" w:line="240" w:lineRule="auto"/>
      </w:pPr>
      <w:r>
        <w:rPr>
          <w:sz w:val="17"/>
        </w:rPr>
        <w:t xml:space="preserve">[5] Banning, E. B. 2011. So Fair a House: Gobekli Tepe and the Identification of Temples in the Pre-Pottery Neolithic of the Near East. Current Anthropology 52(5): 619-660. </w:t>
      </w:r>
      <w:hyperlink r:id="rId13">
        <w:r>
          <w:rPr>
            <w:color w:val="0563C1"/>
            <w:u w:val="single"/>
          </w:rPr>
          <w:t>https://www.journals.uchicago.edu/doi/abs/10.1086/661207</w:t>
        </w:r>
      </w:hyperlink>
    </w:p>
    <w:p>
      <w:pPr>
        <w:spacing w:after="60" w:line="240" w:lineRule="auto"/>
      </w:pPr>
      <w:r>
        <w:rPr>
          <w:sz w:val="17"/>
        </w:rPr>
        <w:t xml:space="preserve">[6] Reuters. 2025. New finds in Turkey southeast add to picture of Neolithic age. </w:t>
      </w:r>
      <w:hyperlink r:id="rId14">
        <w:r>
          <w:rPr>
            <w:color w:val="0563C1"/>
            <w:u w:val="single"/>
          </w:rPr>
          <w:t>https://www.reuters.com/science/new-finds-turkeys-southeast-add-picture-neolithic-age-2025-11-26/</w:t>
        </w:r>
      </w:hyperlink>
    </w:p>
    <w:p>
      <w:pPr>
        <w:spacing w:after="60" w:line="240" w:lineRule="auto"/>
      </w:pPr>
      <w:r>
        <w:rPr>
          <w:sz w:val="17"/>
        </w:rPr>
        <w:t xml:space="preserve">[7] Reuters Connect. 2026. Artifacts from human statues to animal depictions uncovered at Karahantepe in Turkiye. </w:t>
      </w:r>
      <w:hyperlink r:id="rId15">
        <w:r>
          <w:rPr>
            <w:color w:val="0563C1"/>
            <w:u w:val="single"/>
          </w:rPr>
          <w:t>https://www.reutersconnect.com/item/artifacts-from-human-statues-to-animal-depictions-uncovered-at-karahantepe-in-turkiye/dGFnOnJldXRlcnMuY29tLDIwMjY6bmV3c21sX01UMUFOQURMMDAwVDhLSkRX</w:t>
        </w:r>
      </w:hyperlink>
    </w:p>
    <w:p>
      <w:pPr>
        <w:spacing w:after="60" w:line="240" w:lineRule="auto"/>
      </w:pPr>
      <w:r>
        <w:rPr>
          <w:sz w:val="17"/>
        </w:rPr>
        <w:t xml:space="preserve">[8] Archaeology Magazine. 2021. Last Stand of the Hunter-Gatherers? </w:t>
      </w:r>
      <w:hyperlink r:id="rId16">
        <w:r>
          <w:rPr>
            <w:color w:val="0563C1"/>
            <w:u w:val="single"/>
          </w:rPr>
          <w:t>https://archaeology.org/issues/may-june-2021/features/turkey-gobekli-tepe-hunter-gatherers/</w:t>
        </w:r>
      </w:hyperlink>
    </w:p>
    <w:p>
      <w:pPr>
        <w:spacing w:after="60" w:line="240" w:lineRule="auto"/>
      </w:pPr>
      <w:r>
        <w:rPr>
          <w:sz w:val="17"/>
        </w:rPr>
        <w:t xml:space="preserve">[9] DAI Tepe Telegrams. 2019. New publication: Ritual Practices and Conflict Mitigation at Early Neolithic Kortik Tepe and Gobekli Tepe. </w:t>
      </w:r>
      <w:hyperlink r:id="rId17">
        <w:r>
          <w:rPr>
            <w:color w:val="0563C1"/>
            <w:u w:val="single"/>
          </w:rPr>
          <w:t>https://www.dainst.blog/the-tepe-telegrams/2019/03/12/new-publication-ritual-practices-and-conflict-mitigation-at-early-neolithic-kortik-tepe-and-gobekli-tepe/</w:t>
        </w:r>
      </w:hyperlink>
    </w:p>
    <w:sectPr w:rsidR="00FC693F" w:rsidRPr="0006063C" w:rsidSect="00034616">
      <w:footerReference w:type="default" r:id="rId18"/>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Raider Trap Hypothesis v0.2 | Working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hc.unesco.org/en/list/1572/" TargetMode="External"/><Relationship Id="rId10" Type="http://schemas.openxmlformats.org/officeDocument/2006/relationships/hyperlink" Target="https://journals.plos.org/plosone/article?id=10.1371/journal.pone.0215214" TargetMode="External"/><Relationship Id="rId11" Type="http://schemas.openxmlformats.org/officeDocument/2006/relationships/hyperlink" Target="https://www.science.org/doi/10.1126/sciadv.1700564" TargetMode="External"/><Relationship Id="rId12" Type="http://schemas.openxmlformats.org/officeDocument/2006/relationships/hyperlink" Target="https://www.cambridge.org/core/books/violence-and-the-sacred-in-the-ancient-near-east/ritual-practices-and-conflict-mitigation-at-early-neolithic-kortik-tepe-and-gobekli-tepe-upper-mesopotamia/7D89ABA0D934E5E5616D1552466AAFC4" TargetMode="External"/><Relationship Id="rId13" Type="http://schemas.openxmlformats.org/officeDocument/2006/relationships/hyperlink" Target="https://www.journals.uchicago.edu/doi/abs/10.1086/661207" TargetMode="External"/><Relationship Id="rId14" Type="http://schemas.openxmlformats.org/officeDocument/2006/relationships/hyperlink" Target="https://www.reuters.com/science/new-finds-turkeys-southeast-add-picture-neolithic-age-2025-11-26/" TargetMode="External"/><Relationship Id="rId15" Type="http://schemas.openxmlformats.org/officeDocument/2006/relationships/hyperlink" Target="https://www.reutersconnect.com/item/artifacts-from-human-statues-to-animal-depictions-uncovered-at-karahantepe-in-turkiye/dGFnOnJldXRlcnMuY29tLDIwMjY6bmV3c21sX01UMUFOQURMMDAwVDhLSkRX" TargetMode="External"/><Relationship Id="rId16" Type="http://schemas.openxmlformats.org/officeDocument/2006/relationships/hyperlink" Target="https://archaeology.org/issues/may-june-2021/features/turkey-gobekli-tepe-hunter-gatherers/" TargetMode="External"/><Relationship Id="rId17" Type="http://schemas.openxmlformats.org/officeDocument/2006/relationships/hyperlink" Target="https://www.dainst.blog/the-tepe-telegrams/2019/03/12/new-publication-ritual-practices-and-conflict-mitigation-at-early-neolithic-kortik-tepe-and-gobekli-tepe/"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