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From AI Output to Evidence Trail</w:t>
      </w:r>
    </w:p>
    <w:p>
      <w:pPr>
        <w:pStyle w:val="Heading1"/>
      </w:pPr>
      <w:r>
        <w:t>Object preservation controls for legal, audit, compliance, records, and HCI teams</w:t>
      </w:r>
    </w:p>
    <w:p>
      <w:r>
        <w:rPr>
          <w:b/>
        </w:rPr>
        <w:t xml:space="preserve">Version: v0.001  </w:t>
      </w:r>
    </w:p>
    <w:p>
      <w:r>
        <w:rPr>
          <w:b/>
        </w:rPr>
        <w:t xml:space="preserve">Status: working paper  </w:t>
      </w:r>
    </w:p>
    <w:p>
      <w:r>
        <w:rPr>
          <w:b/>
        </w:rPr>
        <w:t xml:space="preserve">Date: 2026-06-16  </w:t>
      </w:r>
    </w:p>
    <w:p>
      <w:r>
        <w:rPr>
          <w:b/>
        </w:rPr>
        <w:t>Author line: lumixdeee / lmxdi source stack, prepared as a publishable first draft</w:t>
      </w:r>
    </w:p>
    <w:p>
      <w:pPr>
        <w:spacing w:after="80"/>
      </w:pPr>
    </w:p>
    <w:p>
      <w:pPr>
        <w:pStyle w:val="Heading1"/>
      </w:pPr>
      <w:r>
        <w:t>Abstract</w:t>
      </w:r>
    </w:p>
    <w:p>
      <w:pPr>
        <w:spacing w:after="120"/>
      </w:pPr>
      <w:r>
        <w:t>AI systems do not only answer questions. They summarize, classify, route, rewrite, recommend, refuse, redact, score, store, and trigger downstream action. Each transformation can silently replace the user's object with a nearby proxy. A complaint becomes sentiment. An appeal becomes dissatisfaction. A consent condition becomes a preference. A harm report becomes tone. The system may then log prompts and outputs while still losing the thing that mattered.</w:t>
      </w:r>
    </w:p>
    <w:p>
      <w:pPr>
        <w:spacing w:after="120"/>
      </w:pPr>
      <w:r>
        <w:t>This paper proposes a lightweight evidence trail for AI mediated work. The aim is not more paperwork. The aim is to show what happened to the object as it moved through the workflow. The minimum pattern is simple: record the object at intake, name what can replace it, log each transformation, test whether the same object survived, and hold the workflow when substitution appears.</w:t>
      </w:r>
    </w:p>
    <w:p>
      <w:pPr>
        <w:spacing w:after="120"/>
      </w:pPr>
      <w:r>
        <w:t>The paper introduces five controls from the lmxdi object custody stack: MOGRI records the object, DRAGI maps what can eat or distort it, ADUTI tests whether the object survived, REFRI holds invalid substitutions, and ELVIX pins risky terms to permitted meanings. Together they turn AI activity from a stream of plausible outputs into a reconstructable evidence trail.</w:t>
      </w:r>
    </w:p>
    <w:p>
      <w:pPr>
        <w:spacing w:after="80"/>
      </w:pPr>
    </w:p>
    <w:p>
      <w:pPr>
        <w:pStyle w:val="Heading1"/>
      </w:pPr>
      <w:r>
        <w:t>1. The problem</w:t>
      </w:r>
    </w:p>
    <w:p>
      <w:pPr>
        <w:spacing w:after="120"/>
      </w:pPr>
      <w:r>
        <w:t>Ordinary AI logs show what was typed and what was returned. That is useful, but it is not enough.</w:t>
      </w:r>
    </w:p>
    <w:p>
      <w:pPr>
        <w:spacing w:after="120"/>
      </w:pPr>
      <w:r>
        <w:t>A prompt log can say:</w:t>
      </w:r>
    </w:p>
    <w:p>
      <w:pPr>
        <w:pStyle w:val="CodeBlock"/>
        <w:shd w:fill="F3F4F6"/>
      </w:pPr>
      <w:r>
        <w:rPr>
          <w:rFonts w:ascii="Courier New" w:hAnsi="Courier New" w:cs="Courier New"/>
        </w:rPr>
        <w:t>User asked for review of a benefits decision.</w:t>
      </w:r>
    </w:p>
    <w:p>
      <w:pPr>
        <w:spacing w:after="120"/>
      </w:pPr>
      <w:r>
        <w:t>An output log can say:</w:t>
      </w:r>
    </w:p>
    <w:p>
      <w:pPr>
        <w:pStyle w:val="CodeBlock"/>
        <w:shd w:fill="F3F4F6"/>
      </w:pPr>
      <w:r>
        <w:rPr>
          <w:rFonts w:ascii="Courier New" w:hAnsi="Courier New" w:cs="Courier New"/>
        </w:rPr>
        <w:t>Model classified the user as dissatisfied.</w:t>
      </w:r>
    </w:p>
    <w:p>
      <w:pPr>
        <w:spacing w:after="120"/>
      </w:pPr>
      <w:r>
        <w:t>Both can be accurate while missing the main event:</w:t>
      </w:r>
    </w:p>
    <w:p>
      <w:pPr>
        <w:pStyle w:val="CodeBlock"/>
        <w:shd w:fill="F3F4F6"/>
      </w:pPr>
      <w:r>
        <w:rPr>
          <w:rFonts w:ascii="Courier New" w:hAnsi="Courier New" w:cs="Courier New"/>
        </w:rPr>
        <w:t>The appeal object was replaced by a sentiment object.</w:t>
      </w:r>
    </w:p>
    <w:p>
      <w:pPr>
        <w:spacing w:after="120"/>
      </w:pPr>
      <w:r>
        <w:t>This is an object substitution failure. The system did not merely answer poorly. It changed what was being handled.</w:t>
      </w:r>
    </w:p>
    <w:p>
      <w:pPr>
        <w:spacing w:after="120"/>
      </w:pPr>
      <w:r>
        <w:t>In high consequence workflows, this is dangerous because the proxy may be easier to process, measure, defend, or close than the original object. Once the proxy enters the record, later reviewers may see only the substitute. The workflow can appear complete while the user's actual object has disappeared.</w:t>
      </w:r>
    </w:p>
    <w:p>
      <w:pPr>
        <w:spacing w:after="120"/>
      </w:pPr>
      <w:r>
        <w:t>Examples:</w:t>
      </w:r>
    </w:p>
    <w:p>
      <w:pPr>
        <w:pStyle w:val="CodeBlock"/>
        <w:shd w:fill="F3F4F6"/>
      </w:pPr>
      <w:r>
        <w:rPr>
          <w:rFonts w:ascii="Courier New" w:hAnsi="Courier New" w:cs="Courier New"/>
        </w:rPr>
        <w:t>complaint -&gt; sentiment</w:t>
        <w:br/>
        <w:t>appeal -&gt; dissatisfaction</w:t>
        <w:br/>
        <w:t>instruction -&gt; general advice</w:t>
        <w:br/>
        <w:t>consent condition -&gt; preference</w:t>
        <w:br/>
        <w:t>protected disclosure -&gt; workplace mood</w:t>
        <w:br/>
        <w:t>harm report -&gt; tone problem</w:t>
        <w:br/>
        <w:t>vulnerability disclosure -&gt; customer mood</w:t>
        <w:br/>
        <w:t>medical caution -&gt; softened summary</w:t>
        <w:br/>
        <w:t>regulator request -&gt; support ticket</w:t>
        <w:br/>
        <w:t>human veto -&gt; optional preference</w:t>
      </w:r>
    </w:p>
    <w:p>
      <w:pPr>
        <w:spacing w:after="120"/>
      </w:pPr>
      <w:r>
        <w:t>The evidence trail proposed here exists to catch that moment.</w:t>
      </w:r>
    </w:p>
    <w:p>
      <w:pPr>
        <w:spacing w:after="80"/>
      </w:pPr>
    </w:p>
    <w:p>
      <w:pPr>
        <w:pStyle w:val="Heading1"/>
      </w:pPr>
      <w:r>
        <w:t>2. What object preservation adds</w:t>
      </w:r>
    </w:p>
    <w:p>
      <w:pPr>
        <w:spacing w:after="120"/>
      </w:pPr>
      <w:r>
        <w:t>Object preservation asks one governance question before operational action:</w:t>
      </w:r>
    </w:p>
    <w:p>
      <w:pPr>
        <w:pStyle w:val="CodeBlock"/>
        <w:shd w:fill="F3F4F6"/>
      </w:pPr>
      <w:r>
        <w:rPr>
          <w:rFonts w:ascii="Courier New" w:hAnsi="Courier New" w:cs="Courier New"/>
        </w:rPr>
        <w:t>Is the system still handling the same object that entered?</w:t>
      </w:r>
    </w:p>
    <w:p>
      <w:pPr>
        <w:spacing w:after="120"/>
      </w:pPr>
      <w:r>
        <w:t>This is different from asking whether the output is fluent, safe looking, polite, consistent, or well structured. Those can all be true while the object has been replaced.</w:t>
      </w:r>
    </w:p>
    <w:p>
      <w:pPr>
        <w:spacing w:after="120"/>
      </w:pPr>
      <w:r>
        <w:t>Object preservation adds a comparison layer between input and output:</w:t>
      </w:r>
    </w:p>
    <w:p>
      <w:pPr>
        <w:pStyle w:val="CodeBlock"/>
        <w:shd w:fill="F3F4F6"/>
      </w:pPr>
      <w:r>
        <w:rPr>
          <w:rFonts w:ascii="Courier New" w:hAnsi="Courier New" w:cs="Courier New"/>
        </w:rPr>
        <w:t>OBJ_IN:</w:t>
        <w:br/>
        <w:t>the object the user or workflow placed into the system</w:t>
        <w:br/>
        <w:br/>
        <w:t>TRANSFORM:</w:t>
        <w:br/>
        <w:t>what the model, tool, agent, or human did to it</w:t>
        <w:br/>
        <w:br/>
        <w:t>OBJ_OUT:</w:t>
        <w:br/>
        <w:t>the object now being acted on</w:t>
        <w:br/>
        <w:br/>
        <w:t>SURVIVAL:</w:t>
        <w:br/>
        <w:t>whether role, intent, constraints, vetoes, evidence status, and affected party survived</w:t>
      </w:r>
    </w:p>
    <w:p>
      <w:pPr>
        <w:spacing w:after="120"/>
      </w:pPr>
      <w:r>
        <w:t>If the same object survived, the workflow may continue. If the object changed, the workflow must either repair the transformation, route to the nearest valid action, or hold for review.</w:t>
      </w:r>
    </w:p>
    <w:p>
      <w:pPr>
        <w:spacing w:after="80"/>
      </w:pPr>
    </w:p>
    <w:p>
      <w:pPr>
        <w:pStyle w:val="Heading1"/>
      </w:pPr>
      <w:r>
        <w:t>3. The control stack</w:t>
      </w:r>
    </w:p>
    <w:p>
      <w:pPr>
        <w:spacing w:after="120"/>
      </w:pPr>
      <w:r>
        <w:t>The method uses five named controls. The names are local source terms, but the functions are ordinary governance functions.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5E7EB"/>
          </w:tcPr>
          <w:p>
            <w:pPr>
              <w:spacing w:after="0"/>
            </w:pPr>
            <w:r>
              <w:rPr>
                <w:rFonts w:ascii="Aptos" w:hAnsi="Aptos"/>
                <w:b/>
                <w:sz w:val="18"/>
              </w:rPr>
              <w:t>Source term</w:t>
            </w:r>
          </w:p>
        </w:tc>
        <w:tc>
          <w:tcPr>
            <w:tcW w:type="dxa" w:w="3360"/>
            <w:vAlign w:val="top"/>
            <w:shd w:fill="E5E7EB"/>
          </w:tcPr>
          <w:p>
            <w:pPr>
              <w:spacing w:after="0"/>
            </w:pPr>
            <w:r>
              <w:rPr>
                <w:rFonts w:ascii="Aptos" w:hAnsi="Aptos"/>
                <w:b/>
                <w:sz w:val="18"/>
              </w:rPr>
              <w:t>Governance function</w:t>
            </w:r>
          </w:p>
        </w:tc>
        <w:tc>
          <w:tcPr>
            <w:tcW w:type="dxa" w:w="3360"/>
            <w:vAlign w:val="top"/>
            <w:shd w:fill="E5E7EB"/>
          </w:tcPr>
          <w:p>
            <w:pPr>
              <w:spacing w:after="0"/>
            </w:pPr>
            <w:r>
              <w:rPr>
                <w:rFonts w:ascii="Aptos" w:hAnsi="Aptos"/>
                <w:b/>
                <w:sz w:val="18"/>
              </w:rPr>
              <w:t>Question answered</w:t>
            </w:r>
          </w:p>
        </w:tc>
      </w:tr>
      <w:tr>
        <w:tc>
          <w:tcPr>
            <w:tcW w:type="dxa" w:w="3360"/>
            <w:vAlign w:val="top"/>
          </w:tcPr>
          <w:p>
            <w:pPr>
              <w:spacing w:after="0"/>
            </w:pPr>
            <w:r>
              <w:rPr>
                <w:rFonts w:ascii="Aptos" w:hAnsi="Aptos"/>
                <w:sz w:val="18"/>
              </w:rPr>
              <w:t>MOGRI</w:t>
            </w:r>
          </w:p>
        </w:tc>
        <w:tc>
          <w:tcPr>
            <w:tcW w:type="dxa" w:w="3360"/>
            <w:vAlign w:val="top"/>
          </w:tcPr>
          <w:p>
            <w:pPr>
              <w:spacing w:after="0"/>
            </w:pPr>
            <w:r>
              <w:rPr>
                <w:rFonts w:ascii="Aptos" w:hAnsi="Aptos"/>
                <w:sz w:val="18"/>
              </w:rPr>
              <w:t>object custody precheck</w:t>
            </w:r>
          </w:p>
        </w:tc>
        <w:tc>
          <w:tcPr>
            <w:tcW w:type="dxa" w:w="3360"/>
            <w:vAlign w:val="top"/>
          </w:tcPr>
          <w:p>
            <w:pPr>
              <w:spacing w:after="0"/>
            </w:pPr>
            <w:r>
              <w:rPr>
                <w:rFonts w:ascii="Aptos" w:hAnsi="Aptos"/>
                <w:sz w:val="18"/>
              </w:rPr>
              <w:t>What object entered, and what must not be changed?</w:t>
            </w:r>
          </w:p>
        </w:tc>
      </w:tr>
      <w:tr>
        <w:tc>
          <w:tcPr>
            <w:tcW w:type="dxa" w:w="3360"/>
            <w:vAlign w:val="top"/>
          </w:tcPr>
          <w:p>
            <w:pPr>
              <w:spacing w:after="0"/>
            </w:pPr>
            <w:r>
              <w:rPr>
                <w:rFonts w:ascii="Aptos" w:hAnsi="Aptos"/>
                <w:sz w:val="18"/>
              </w:rPr>
              <w:t>DRAGI</w:t>
            </w:r>
          </w:p>
        </w:tc>
        <w:tc>
          <w:tcPr>
            <w:tcW w:type="dxa" w:w="3360"/>
            <w:vAlign w:val="top"/>
          </w:tcPr>
          <w:p>
            <w:pPr>
              <w:spacing w:after="0"/>
            </w:pPr>
            <w:r>
              <w:rPr>
                <w:rFonts w:ascii="Aptos" w:hAnsi="Aptos"/>
                <w:sz w:val="18"/>
              </w:rPr>
              <w:t>object risk ecology</w:t>
            </w:r>
          </w:p>
        </w:tc>
        <w:tc>
          <w:tcPr>
            <w:tcW w:type="dxa" w:w="3360"/>
            <w:vAlign w:val="top"/>
          </w:tcPr>
          <w:p>
            <w:pPr>
              <w:spacing w:after="0"/>
            </w:pPr>
            <w:r>
              <w:rPr>
                <w:rFonts w:ascii="Aptos" w:hAnsi="Aptos"/>
                <w:sz w:val="18"/>
              </w:rPr>
              <w:t>What can eat, replace, distort, or limit the object?</w:t>
            </w:r>
          </w:p>
        </w:tc>
      </w:tr>
      <w:tr>
        <w:tc>
          <w:tcPr>
            <w:tcW w:type="dxa" w:w="3360"/>
            <w:vAlign w:val="top"/>
          </w:tcPr>
          <w:p>
            <w:pPr>
              <w:spacing w:after="0"/>
            </w:pPr>
            <w:r>
              <w:rPr>
                <w:rFonts w:ascii="Aptos" w:hAnsi="Aptos"/>
                <w:sz w:val="18"/>
              </w:rPr>
              <w:t>ADUTI</w:t>
            </w:r>
          </w:p>
        </w:tc>
        <w:tc>
          <w:tcPr>
            <w:tcW w:type="dxa" w:w="3360"/>
            <w:vAlign w:val="top"/>
          </w:tcPr>
          <w:p>
            <w:pPr>
              <w:spacing w:after="0"/>
            </w:pPr>
            <w:r>
              <w:rPr>
                <w:rFonts w:ascii="Aptos" w:hAnsi="Aptos"/>
                <w:sz w:val="18"/>
              </w:rPr>
              <w:t>input output object test</w:t>
            </w:r>
          </w:p>
        </w:tc>
        <w:tc>
          <w:tcPr>
            <w:tcW w:type="dxa" w:w="3360"/>
            <w:vAlign w:val="top"/>
          </w:tcPr>
          <w:p>
            <w:pPr>
              <w:spacing w:after="0"/>
            </w:pPr>
            <w:r>
              <w:rPr>
                <w:rFonts w:ascii="Aptos" w:hAnsi="Aptos"/>
                <w:sz w:val="18"/>
              </w:rPr>
              <w:t>Did the same object survive transformation?</w:t>
            </w:r>
          </w:p>
        </w:tc>
      </w:tr>
      <w:tr>
        <w:tc>
          <w:tcPr>
            <w:tcW w:type="dxa" w:w="3360"/>
            <w:vAlign w:val="top"/>
          </w:tcPr>
          <w:p>
            <w:pPr>
              <w:spacing w:after="0"/>
            </w:pPr>
            <w:r>
              <w:rPr>
                <w:rFonts w:ascii="Aptos" w:hAnsi="Aptos"/>
                <w:sz w:val="18"/>
              </w:rPr>
              <w:t>REFRI</w:t>
            </w:r>
          </w:p>
        </w:tc>
        <w:tc>
          <w:tcPr>
            <w:tcW w:type="dxa" w:w="3360"/>
            <w:vAlign w:val="top"/>
          </w:tcPr>
          <w:p>
            <w:pPr>
              <w:spacing w:after="0"/>
            </w:pPr>
            <w:r>
              <w:rPr>
                <w:rFonts w:ascii="Aptos" w:hAnsi="Aptos"/>
                <w:sz w:val="18"/>
              </w:rPr>
              <w:t>substitution hold control</w:t>
            </w:r>
          </w:p>
        </w:tc>
        <w:tc>
          <w:tcPr>
            <w:tcW w:type="dxa" w:w="3360"/>
            <w:vAlign w:val="top"/>
          </w:tcPr>
          <w:p>
            <w:pPr>
              <w:spacing w:after="0"/>
            </w:pPr>
            <w:r>
              <w:rPr>
                <w:rFonts w:ascii="Aptos" w:hAnsi="Aptos"/>
                <w:sz w:val="18"/>
              </w:rPr>
              <w:t>What happens when a proxy replaces the object?</w:t>
            </w:r>
          </w:p>
        </w:tc>
      </w:tr>
      <w:tr>
        <w:tc>
          <w:tcPr>
            <w:tcW w:type="dxa" w:w="3360"/>
            <w:vAlign w:val="top"/>
          </w:tcPr>
          <w:p>
            <w:pPr>
              <w:spacing w:after="0"/>
            </w:pPr>
            <w:r>
              <w:rPr>
                <w:rFonts w:ascii="Aptos" w:hAnsi="Aptos"/>
                <w:sz w:val="18"/>
              </w:rPr>
              <w:t>ELVIX</w:t>
            </w:r>
          </w:p>
        </w:tc>
        <w:tc>
          <w:tcPr>
            <w:tcW w:type="dxa" w:w="3360"/>
            <w:vAlign w:val="top"/>
          </w:tcPr>
          <w:p>
            <w:pPr>
              <w:spacing w:after="0"/>
            </w:pPr>
            <w:r>
              <w:rPr>
                <w:rFonts w:ascii="Aptos" w:hAnsi="Aptos"/>
                <w:sz w:val="18"/>
              </w:rPr>
              <w:t>semantic transport map</w:t>
            </w:r>
          </w:p>
        </w:tc>
        <w:tc>
          <w:tcPr>
            <w:tcW w:type="dxa" w:w="3360"/>
            <w:vAlign w:val="top"/>
          </w:tcPr>
          <w:p>
            <w:pPr>
              <w:spacing w:after="0"/>
            </w:pPr>
            <w:r>
              <w:rPr>
                <w:rFonts w:ascii="Aptos" w:hAnsi="Aptos"/>
                <w:sz w:val="18"/>
              </w:rPr>
              <w:t>Which risky terms must keep fixed meanings?</w:t>
            </w:r>
          </w:p>
        </w:tc>
      </w:tr>
    </w:tbl>
    <w:p/>
    <w:p>
      <w:pPr>
        <w:spacing w:after="120"/>
      </w:pPr>
      <w:r>
        <w:t>The controls do not replace existing logs, model cards, risk registers, human review, or compliance duties. They fill the gap between them.</w:t>
      </w:r>
    </w:p>
    <w:p>
      <w:pPr>
        <w:spacing w:after="120"/>
      </w:pPr>
      <w:r>
        <w:t>The gap is this:</w:t>
      </w:r>
    </w:p>
    <w:p>
      <w:pPr>
        <w:pStyle w:val="CodeBlock"/>
        <w:shd w:fill="F3F4F6"/>
      </w:pPr>
      <w:r>
        <w:rPr>
          <w:rFonts w:ascii="Courier New" w:hAnsi="Courier New" w:cs="Courier New"/>
        </w:rPr>
        <w:t>A system can have records of input, model call, output, reviewer, and timestamp,</w:t>
        <w:br/>
        <w:t>while still lacking a record of whether the same object survived.</w:t>
      </w:r>
    </w:p>
    <w:p>
      <w:pPr>
        <w:spacing w:after="120"/>
      </w:pPr>
      <w:r>
        <w:t>Object preservation records that survival test.</w:t>
      </w:r>
    </w:p>
    <w:p>
      <w:pPr>
        <w:spacing w:after="80"/>
      </w:pPr>
    </w:p>
    <w:p>
      <w:pPr>
        <w:pStyle w:val="Heading1"/>
      </w:pPr>
      <w:r>
        <w:t>4. Minimum deployable evidence trail</w:t>
      </w:r>
    </w:p>
    <w:p>
      <w:pPr>
        <w:spacing w:after="120"/>
      </w:pPr>
      <w:r>
        <w:t>A first deployment does not need a new platform. It can start with five small records.</w:t>
      </w:r>
    </w:p>
    <w:p>
      <w:pPr>
        <w:pStyle w:val="Heading2"/>
      </w:pPr>
      <w:r>
        <w:t>4.1 Object Card</w:t>
      </w:r>
    </w:p>
    <w:p>
      <w:pPr>
        <w:spacing w:after="120"/>
      </w:pPr>
      <w:r>
        <w:t>The Object Card records the object at intake.</w:t>
      </w:r>
    </w:p>
    <w:p>
      <w:pPr>
        <w:pStyle w:val="CodeBlock"/>
        <w:shd w:fill="F3F4F6"/>
      </w:pPr>
      <w:r>
        <w:rPr>
          <w:rFonts w:ascii="Courier New" w:hAnsi="Courier New" w:cs="Courier New"/>
        </w:rPr>
        <w:t>object_id:</w:t>
        <w:br/>
        <w:t>object_type:</w:t>
        <w:br/>
        <w:t>owner_or_source:</w:t>
        <w:br/>
        <w:t>affected_party:</w:t>
        <w:br/>
        <w:t>intent:</w:t>
        <w:br/>
        <w:t>scope:</w:t>
        <w:br/>
        <w:t>active_constraints:</w:t>
        <w:br/>
        <w:t>vetoes:</w:t>
        <w:br/>
        <w:t>evidence_required:</w:t>
        <w:br/>
        <w:t>non_goals:</w:t>
        <w:br/>
        <w:t>review_required:</w:t>
      </w:r>
    </w:p>
    <w:p>
      <w:pPr>
        <w:spacing w:after="120"/>
      </w:pPr>
      <w:r>
        <w:t>Example:</w:t>
      </w:r>
    </w:p>
    <w:p>
      <w:pPr>
        <w:pStyle w:val="CodeBlock"/>
        <w:shd w:fill="F3F4F6"/>
      </w:pPr>
      <w:r>
        <w:rPr>
          <w:rFonts w:ascii="Courier New" w:hAnsi="Courier New" w:cs="Courier New"/>
        </w:rPr>
        <w:t>object_type: appeal</w:t>
        <w:br/>
        <w:t>intent: review decision, not measure user mood</w:t>
        <w:br/>
        <w:t>active_constraints: must preserve evidence references and deadline</w:t>
        <w:br/>
        <w:t>vetoes: do not convert to generic complaint</w:t>
        <w:br/>
        <w:t>evidence_required: original decision, appeal statement, supporting documents</w:t>
        <w:br/>
        <w:t>review_required: human case reviewer before closure</w:t>
      </w:r>
    </w:p>
    <w:p>
      <w:pPr>
        <w:pStyle w:val="Heading2"/>
      </w:pPr>
      <w:r>
        <w:t>4.2 DRAGI Risk Register</w:t>
      </w:r>
    </w:p>
    <w:p>
      <w:pPr>
        <w:spacing w:after="120"/>
      </w:pPr>
      <w:r>
        <w:t>The risk register names the ways the object can be eaten or replaced.</w:t>
      </w:r>
    </w:p>
    <w:p>
      <w:pPr>
        <w:pStyle w:val="CodeBlock"/>
        <w:shd w:fill="F3F4F6"/>
      </w:pPr>
      <w:r>
        <w:rPr>
          <w:rFonts w:ascii="Courier New" w:hAnsi="Courier New" w:cs="Courier New"/>
        </w:rPr>
        <w:t>risk:</w:t>
        <w:br/>
        <w:t>where_it_lives:</w:t>
        <w:br/>
        <w:t>how_to_spot_it:</w:t>
        <w:br/>
        <w:t>what_eats_it:</w:t>
        <w:br/>
        <w:t>owner:</w:t>
        <w:br/>
        <w:t>control:</w:t>
      </w:r>
    </w:p>
    <w:p>
      <w:pPr>
        <w:spacing w:after="120"/>
      </w:pPr>
      <w:r>
        <w:t>Example:</w:t>
      </w:r>
    </w:p>
    <w:p>
      <w:pPr>
        <w:pStyle w:val="CodeBlock"/>
        <w:shd w:fill="F3F4F6"/>
      </w:pPr>
      <w:r>
        <w:rPr>
          <w:rFonts w:ascii="Courier New" w:hAnsi="Courier New" w:cs="Courier New"/>
        </w:rPr>
        <w:t>risk: appeal -&gt; dissatisfaction</w:t>
        <w:br/>
        <w:t>where_it_lives: routing classifier and support queue</w:t>
        <w:br/>
        <w:t>how_to_spot_it: model labels the event as mood or customer sentiment</w:t>
        <w:br/>
        <w:t>what_eats_it: closure pressure, support metrics, sentiment tooling</w:t>
        <w:br/>
        <w:t>owner: workflow owner</w:t>
        <w:br/>
        <w:t>control: ADUTI check before routing</w:t>
      </w:r>
    </w:p>
    <w:p>
      <w:pPr>
        <w:pStyle w:val="Heading2"/>
      </w:pPr>
      <w:r>
        <w:t>4.3 Transform Event</w:t>
      </w:r>
    </w:p>
    <w:p>
      <w:pPr>
        <w:spacing w:after="120"/>
      </w:pPr>
      <w:r>
        <w:t>Every AI mediated transformation creates a small event record.</w:t>
      </w:r>
    </w:p>
    <w:p>
      <w:pPr>
        <w:pStyle w:val="CodeBlock"/>
        <w:shd w:fill="F3F4F6"/>
      </w:pPr>
      <w:r>
        <w:rPr>
          <w:rFonts w:ascii="Courier New" w:hAnsi="Courier New" w:cs="Courier New"/>
        </w:rPr>
        <w:t>{</w:t>
        <w:br/>
        <w:t xml:space="preserve">  "event_id": "",</w:t>
        <w:br/>
        <w:t xml:space="preserve">  "object_id": "",</w:t>
        <w:br/>
        <w:t xml:space="preserve">  "transform_type": "summary|rewrite|classification|routing|redaction|recommendation|refusal",</w:t>
        <w:br/>
        <w:t xml:space="preserve">  "actor": "human|model|tool|agent",</w:t>
        <w:br/>
        <w:t xml:space="preserve">  "input_reference": "",</w:t>
        <w:br/>
        <w:t xml:space="preserve">  "output_reference": "",</w:t>
        <w:br/>
        <w:t xml:space="preserve">  "evidence_reference": "",</w:t>
        <w:br/>
        <w:t xml:space="preserve">  "constraints_active": [],</w:t>
        <w:br/>
        <w:t xml:space="preserve">  "vetoes_active": [],</w:t>
        <w:br/>
        <w:t xml:space="preserve">  "timestamp": ""</w:t>
        <w:br/>
        <w:t>}</w:t>
      </w:r>
    </w:p>
    <w:p>
      <w:pPr>
        <w:spacing w:after="120"/>
      </w:pPr>
      <w:r>
        <w:t>The event does not need to store sensitive material directly. It may store references, hashes, case IDs, or controlled links where appropriate. The important point is that the transformation can be reconstructed.</w:t>
      </w:r>
    </w:p>
    <w:p>
      <w:pPr>
        <w:pStyle w:val="Heading2"/>
      </w:pPr>
      <w:r>
        <w:t>4.4 ADUTI Report</w:t>
      </w:r>
    </w:p>
    <w:p>
      <w:pPr>
        <w:spacing w:after="120"/>
      </w:pPr>
      <w:r>
        <w:t>ADUTI compares object before and after transformation.</w:t>
      </w:r>
    </w:p>
    <w:p>
      <w:pPr>
        <w:pStyle w:val="CodeBlock"/>
        <w:shd w:fill="F3F4F6"/>
      </w:pPr>
      <w:r>
        <w:rPr>
          <w:rFonts w:ascii="Courier New" w:hAnsi="Courier New" w:cs="Courier New"/>
        </w:rPr>
        <w:t>OBJ_IN:</w:t>
        <w:br/>
        <w:t>OBJ_OUT:</w:t>
        <w:br/>
        <w:t>object_survived: yes | no | partial | uncertain</w:t>
        <w:br/>
        <w:t>role_survived:</w:t>
        <w:br/>
        <w:t>intent_survived:</w:t>
        <w:br/>
        <w:t>constraint_survival:</w:t>
        <w:br/>
        <w:t>veto_survival:</w:t>
        <w:br/>
        <w:t>evidence_survival:</w:t>
        <w:br/>
        <w:t>affected_party_survival:</w:t>
        <w:br/>
        <w:t>substitution_risk:</w:t>
        <w:br/>
        <w:t>reviewer:</w:t>
        <w:br/>
        <w:t>decision:</w:t>
      </w:r>
    </w:p>
    <w:p>
      <w:pPr>
        <w:spacing w:after="120"/>
      </w:pPr>
      <w:r>
        <w:t>Decision values:</w:t>
      </w:r>
    </w:p>
    <w:p>
      <w:pPr>
        <w:pStyle w:val="CodeBlock"/>
        <w:shd w:fill="F3F4F6"/>
      </w:pPr>
      <w:r>
        <w:rPr>
          <w:rFonts w:ascii="Courier New" w:hAnsi="Courier New" w:cs="Courier New"/>
        </w:rPr>
        <w:t>PASS: same object survived</w:t>
        <w:br/>
        <w:t>PARTIAL: object mostly survived, bounded repair needed</w:t>
        <w:br/>
        <w:t>HOLD: evidence missing or survival cannot be determined</w:t>
        <w:br/>
        <w:t>FAIL: proxy replaced the object</w:t>
        <w:br/>
        <w:t>ESCALATE: human review required before action</w:t>
      </w:r>
    </w:p>
    <w:p>
      <w:pPr>
        <w:pStyle w:val="Heading2"/>
      </w:pPr>
      <w:r>
        <w:t>4.5 REFRI Hold Notice</w:t>
      </w:r>
    </w:p>
    <w:p>
      <w:pPr>
        <w:spacing w:after="120"/>
      </w:pPr>
      <w:r>
        <w:t>REFRI stops the workflow when the object has been replaced.</w:t>
      </w:r>
    </w:p>
    <w:p>
      <w:pPr>
        <w:pStyle w:val="CodeBlock"/>
        <w:shd w:fill="F3F4F6"/>
      </w:pPr>
      <w:r>
        <w:rPr>
          <w:rFonts w:ascii="Courier New" w:hAnsi="Courier New" w:cs="Courier New"/>
        </w:rPr>
        <w:t>hold_reason:</w:t>
        <w:br/>
        <w:t>substitution_risk:</w:t>
        <w:br/>
        <w:t>invalid_transform:</w:t>
        <w:br/>
        <w:t>nearest_valid_transform:</w:t>
        <w:br/>
        <w:t>release_condition:</w:t>
        <w:br/>
        <w:t>escalation_path:</w:t>
      </w:r>
    </w:p>
    <w:p>
      <w:pPr>
        <w:spacing w:after="120"/>
      </w:pPr>
      <w:r>
        <w:t>Example:</w:t>
      </w:r>
    </w:p>
    <w:p>
      <w:pPr>
        <w:pStyle w:val="CodeBlock"/>
        <w:shd w:fill="F3F4F6"/>
      </w:pPr>
      <w:r>
        <w:rPr>
          <w:rFonts w:ascii="Courier New" w:hAnsi="Courier New" w:cs="Courier New"/>
        </w:rPr>
        <w:t>hold_reason: appeal object was converted to dissatisfaction object</w:t>
        <w:br/>
        <w:t>substitution_risk: appeal -&gt; sentiment</w:t>
        <w:br/>
        <w:t>invalid_transform: route to general support closure</w:t>
        <w:br/>
        <w:t>nearest_valid_transform: route to appeal review queue</w:t>
        <w:br/>
        <w:t>release_condition: human reviewer confirms appeal status</w:t>
      </w:r>
    </w:p>
    <w:p>
      <w:pPr>
        <w:pStyle w:val="Heading2"/>
      </w:pPr>
      <w:r>
        <w:t>4.6 ELVIX Term Map</w:t>
      </w:r>
    </w:p>
    <w:p>
      <w:pPr>
        <w:spacing w:after="120"/>
      </w:pPr>
      <w:r>
        <w:t>ELVIX pins risky words to permitted meanings.</w:t>
      </w:r>
    </w:p>
    <w:p>
      <w:pPr>
        <w:pStyle w:val="CodeBlock"/>
        <w:shd w:fill="F3F4F6"/>
      </w:pPr>
      <w:r>
        <w:rPr>
          <w:rFonts w:ascii="Courier New" w:hAnsi="Courier New" w:cs="Courier New"/>
        </w:rPr>
        <w:t>term:</w:t>
        <w:br/>
        <w:t>permitted_meaning:</w:t>
        <w:br/>
        <w:t>not_permitted:</w:t>
        <w:br/>
        <w:t>required_evidence:</w:t>
        <w:br/>
        <w:t>review_condition:</w:t>
      </w:r>
    </w:p>
    <w:p>
      <w:pPr>
        <w:spacing w:after="120"/>
      </w:pPr>
      <w:r>
        <w:t>Example:</w:t>
      </w:r>
    </w:p>
    <w:p>
      <w:pPr>
        <w:pStyle w:val="CodeBlock"/>
        <w:shd w:fill="F3F4F6"/>
      </w:pPr>
      <w:r>
        <w:rPr>
          <w:rFonts w:ascii="Courier New" w:hAnsi="Courier New" w:cs="Courier New"/>
        </w:rPr>
        <w:t>term: consent</w:t>
        <w:br/>
        <w:t>permitted_meaning: explicit permission under the relevant process</w:t>
        <w:br/>
        <w:t>not_permitted: preference, silence, acceptance by default, lack of objection</w:t>
        <w:br/>
        <w:t>required_evidence: recorded consent event or valid signed process step</w:t>
        <w:br/>
        <w:t>review_condition: any automated rewrite involving consent</w:t>
      </w:r>
    </w:p>
    <w:p>
      <w:pPr>
        <w:spacing w:after="80"/>
      </w:pPr>
    </w:p>
    <w:p>
      <w:pPr>
        <w:pStyle w:val="Heading1"/>
      </w:pPr>
      <w:r>
        <w:t>5. Where to deploy first</w:t>
      </w:r>
    </w:p>
    <w:p>
      <w:pPr>
        <w:spacing w:after="120"/>
      </w:pPr>
      <w:r>
        <w:t>Start where object substitution is likely and costly.</w:t>
      </w:r>
    </w:p>
    <w:p>
      <w:pPr>
        <w:pStyle w:val="Heading2"/>
      </w:pPr>
      <w:r>
        <w:t>Legal intake</w:t>
      </w:r>
    </w:p>
    <w:p>
      <w:pPr>
        <w:spacing w:after="120"/>
      </w:pPr>
      <w:r>
        <w:t>Risk:</w:t>
      </w:r>
    </w:p>
    <w:p>
      <w:pPr>
        <w:pStyle w:val="CodeBlock"/>
        <w:shd w:fill="F3F4F6"/>
      </w:pPr>
      <w:r>
        <w:rPr>
          <w:rFonts w:ascii="Courier New" w:hAnsi="Courier New" w:cs="Courier New"/>
        </w:rPr>
        <w:t>instruction -&gt; general advice</w:t>
        <w:br/>
        <w:t>claim -&gt; generic summary</w:t>
        <w:br/>
        <w:t>evidence -&gt; narrative</w:t>
        <w:br/>
        <w:t>deadline -&gt; soft reminder</w:t>
      </w:r>
    </w:p>
    <w:p>
      <w:pPr>
        <w:spacing w:after="120"/>
      </w:pPr>
      <w:r>
        <w:t>Control:</w:t>
      </w:r>
    </w:p>
    <w:p>
      <w:pPr>
        <w:pStyle w:val="CodeBlock"/>
        <w:shd w:fill="F3F4F6"/>
      </w:pPr>
      <w:r>
        <w:rPr>
          <w:rFonts w:ascii="Courier New" w:hAnsi="Courier New" w:cs="Courier New"/>
        </w:rPr>
        <w:t>object card, active constraints, ELVIX term map, human review before advice-like output</w:t>
      </w:r>
    </w:p>
    <w:p>
      <w:pPr>
        <w:pStyle w:val="Heading2"/>
      </w:pPr>
      <w:r>
        <w:t>Complaints and appeals</w:t>
      </w:r>
    </w:p>
    <w:p>
      <w:pPr>
        <w:spacing w:after="120"/>
      </w:pPr>
      <w:r>
        <w:t>Risk:</w:t>
      </w:r>
    </w:p>
    <w:p>
      <w:pPr>
        <w:pStyle w:val="CodeBlock"/>
        <w:shd w:fill="F3F4F6"/>
      </w:pPr>
      <w:r>
        <w:rPr>
          <w:rFonts w:ascii="Courier New" w:hAnsi="Courier New" w:cs="Courier New"/>
        </w:rPr>
        <w:t>complaint -&gt; sentiment</w:t>
        <w:br/>
        <w:t>appeal -&gt; dissatisfaction</w:t>
        <w:br/>
        <w:t>harm report -&gt; tone problem</w:t>
      </w:r>
    </w:p>
    <w:p>
      <w:pPr>
        <w:spacing w:after="120"/>
      </w:pPr>
      <w:r>
        <w:t>Control:</w:t>
      </w:r>
    </w:p>
    <w:p>
      <w:pPr>
        <w:pStyle w:val="CodeBlock"/>
        <w:shd w:fill="F3F4F6"/>
      </w:pPr>
      <w:r>
        <w:rPr>
          <w:rFonts w:ascii="Courier New" w:hAnsi="Courier New" w:cs="Courier New"/>
        </w:rPr>
        <w:t>ADUTI before routing, REFRI hold on reclassification, user-visible object status</w:t>
      </w:r>
    </w:p>
    <w:p>
      <w:pPr>
        <w:pStyle w:val="Heading2"/>
      </w:pPr>
      <w:r>
        <w:t>HR and workplace investigations</w:t>
      </w:r>
    </w:p>
    <w:p>
      <w:pPr>
        <w:spacing w:after="120"/>
      </w:pPr>
      <w:r>
        <w:t>Risk:</w:t>
      </w:r>
    </w:p>
    <w:p>
      <w:pPr>
        <w:pStyle w:val="CodeBlock"/>
        <w:shd w:fill="F3F4F6"/>
      </w:pPr>
      <w:r>
        <w:rPr>
          <w:rFonts w:ascii="Courier New" w:hAnsi="Courier New" w:cs="Courier New"/>
        </w:rPr>
        <w:t>allegation -&gt; interpersonal conflict</w:t>
        <w:br/>
        <w:t>protected disclosure -&gt; workplace mood</w:t>
        <w:br/>
        <w:t>record -&gt; summary without evidential status</w:t>
      </w:r>
    </w:p>
    <w:p>
      <w:pPr>
        <w:spacing w:after="120"/>
      </w:pPr>
      <w:r>
        <w:t>Control:</w:t>
      </w:r>
    </w:p>
    <w:p>
      <w:pPr>
        <w:pStyle w:val="CodeBlock"/>
        <w:shd w:fill="F3F4F6"/>
      </w:pPr>
      <w:r>
        <w:rPr>
          <w:rFonts w:ascii="Courier New" w:hAnsi="Courier New" w:cs="Courier New"/>
        </w:rPr>
        <w:t>term map, evidence status, refusal of premature reclassification</w:t>
      </w:r>
    </w:p>
    <w:p>
      <w:pPr>
        <w:pStyle w:val="Heading2"/>
      </w:pPr>
      <w:r>
        <w:t>Insurance, benefits, and casework</w:t>
      </w:r>
    </w:p>
    <w:p>
      <w:pPr>
        <w:spacing w:after="120"/>
      </w:pPr>
      <w:r>
        <w:t>Risk:</w:t>
      </w:r>
    </w:p>
    <w:p>
      <w:pPr>
        <w:pStyle w:val="CodeBlock"/>
        <w:shd w:fill="F3F4F6"/>
      </w:pPr>
      <w:r>
        <w:rPr>
          <w:rFonts w:ascii="Courier New" w:hAnsi="Courier New" w:cs="Courier New"/>
        </w:rPr>
        <w:t>claim -&gt; ticket</w:t>
        <w:br/>
        <w:t>eligibility evidence -&gt; missing data assumption</w:t>
        <w:br/>
        <w:t>appeal -&gt; customer service issue</w:t>
      </w:r>
    </w:p>
    <w:p>
      <w:pPr>
        <w:spacing w:after="120"/>
      </w:pPr>
      <w:r>
        <w:t>Control:</w:t>
      </w:r>
    </w:p>
    <w:p>
      <w:pPr>
        <w:pStyle w:val="CodeBlock"/>
        <w:shd w:fill="F3F4F6"/>
      </w:pPr>
      <w:r>
        <w:rPr>
          <w:rFonts w:ascii="Courier New" w:hAnsi="Courier New" w:cs="Courier New"/>
        </w:rPr>
        <w:t>object survival check at each handoff</w:t>
      </w:r>
    </w:p>
    <w:p>
      <w:pPr>
        <w:pStyle w:val="Heading2"/>
      </w:pPr>
      <w:r>
        <w:t>Healthcare administration</w:t>
      </w:r>
    </w:p>
    <w:p>
      <w:pPr>
        <w:spacing w:after="120"/>
      </w:pPr>
      <w:r>
        <w:t>Risk:</w:t>
      </w:r>
    </w:p>
    <w:p>
      <w:pPr>
        <w:pStyle w:val="CodeBlock"/>
        <w:shd w:fill="F3F4F6"/>
      </w:pPr>
      <w:r>
        <w:rPr>
          <w:rFonts w:ascii="Courier New" w:hAnsi="Courier New" w:cs="Courier New"/>
        </w:rPr>
        <w:t>clinical caution -&gt; softened summary</w:t>
        <w:br/>
        <w:t>patient request -&gt; scheduling convenience</w:t>
        <w:br/>
        <w:t>record -&gt; impression</w:t>
      </w:r>
    </w:p>
    <w:p>
      <w:pPr>
        <w:spacing w:after="120"/>
      </w:pPr>
      <w:r>
        <w:t>Control:</w:t>
      </w:r>
    </w:p>
    <w:p>
      <w:pPr>
        <w:pStyle w:val="CodeBlock"/>
        <w:shd w:fill="F3F4F6"/>
      </w:pPr>
      <w:r>
        <w:rPr>
          <w:rFonts w:ascii="Courier New" w:hAnsi="Courier New" w:cs="Courier New"/>
        </w:rPr>
        <w:t>active vetoes, evidence references, human signoff for rewording</w:t>
      </w:r>
    </w:p>
    <w:p>
      <w:pPr>
        <w:pStyle w:val="Heading2"/>
      </w:pPr>
      <w:r>
        <w:t>Security and vulnerability disclosure</w:t>
      </w:r>
    </w:p>
    <w:p>
      <w:pPr>
        <w:spacing w:after="120"/>
      </w:pPr>
      <w:r>
        <w:t>Risk:</w:t>
      </w:r>
    </w:p>
    <w:p>
      <w:pPr>
        <w:pStyle w:val="CodeBlock"/>
        <w:shd w:fill="F3F4F6"/>
      </w:pPr>
      <w:r>
        <w:rPr>
          <w:rFonts w:ascii="Courier New" w:hAnsi="Courier New" w:cs="Courier New"/>
        </w:rPr>
        <w:t>vulnerability disclosure -&gt; customer mood</w:t>
        <w:br/>
        <w:t>severity warning -&gt; public relations risk</w:t>
        <w:br/>
        <w:t>reproduction steps -&gt; vague report</w:t>
      </w:r>
    </w:p>
    <w:p>
      <w:pPr>
        <w:spacing w:after="120"/>
      </w:pPr>
      <w:r>
        <w:t>Control:</w:t>
      </w:r>
    </w:p>
    <w:p>
      <w:pPr>
        <w:pStyle w:val="CodeBlock"/>
        <w:shd w:fill="F3F4F6"/>
      </w:pPr>
      <w:r>
        <w:rPr>
          <w:rFonts w:ascii="Courier New" w:hAnsi="Courier New" w:cs="Courier New"/>
        </w:rPr>
        <w:t>object card, term map, reviewer escalation, no sentiment routing before technical triage</w:t>
      </w:r>
    </w:p>
    <w:p>
      <w:pPr>
        <w:spacing w:after="80"/>
      </w:pPr>
    </w:p>
    <w:p>
      <w:pPr>
        <w:pStyle w:val="Heading1"/>
      </w:pPr>
      <w:r>
        <w:t>6. HCI value</w:t>
      </w:r>
    </w:p>
    <w:p>
      <w:pPr>
        <w:spacing w:after="120"/>
      </w:pPr>
      <w:r>
        <w:t>Users often cannot see what happened to their object inside an AI mediated system. They may see only a decision, answer, label, or support response.</w:t>
      </w:r>
    </w:p>
    <w:p>
      <w:pPr>
        <w:spacing w:after="120"/>
      </w:pPr>
      <w:r>
        <w:t>Object preservation supports better interfaces because the system can show:</w:t>
      </w:r>
    </w:p>
    <w:p>
      <w:pPr>
        <w:pStyle w:val="CodeBlock"/>
        <w:shd w:fill="F3F4F6"/>
      </w:pPr>
      <w:r>
        <w:rPr>
          <w:rFonts w:ascii="Courier New" w:hAnsi="Courier New" w:cs="Courier New"/>
        </w:rPr>
        <w:t>what it treated the request as</w:t>
        <w:br/>
        <w:t>what it did</w:t>
        <w:br/>
        <w:t>what evidence it used</w:t>
        <w:br/>
        <w:t>what it did not do</w:t>
        <w:br/>
        <w:t>whether the object's role changed</w:t>
        <w:br/>
        <w:t>how the user can challenge the transformation</w:t>
      </w:r>
    </w:p>
    <w:p>
      <w:pPr>
        <w:spacing w:after="120"/>
      </w:pPr>
      <w:r>
        <w:t>A user-facing version does not need internal jargon. It can say:</w:t>
      </w:r>
    </w:p>
    <w:p>
      <w:pPr>
        <w:pStyle w:val="CodeBlock"/>
        <w:shd w:fill="F3F4F6"/>
      </w:pPr>
      <w:r>
        <w:rPr>
          <w:rFonts w:ascii="Courier New" w:hAnsi="Courier New" w:cs="Courier New"/>
        </w:rPr>
        <w:t>We treated this as an appeal.</w:t>
        <w:br/>
        <w:t>We did not treat it as a general complaint.</w:t>
        <w:br/>
        <w:t>The evidence used was X.</w:t>
        <w:br/>
        <w:t>The next step is Y.</w:t>
        <w:br/>
        <w:t>You can challenge this if the request type is wrong.</w:t>
      </w:r>
    </w:p>
    <w:p>
      <w:pPr>
        <w:spacing w:after="120"/>
      </w:pPr>
      <w:r>
        <w:t>For staff, the same event can carry the full object record.</w:t>
      </w:r>
    </w:p>
    <w:p>
      <w:pPr>
        <w:spacing w:after="120"/>
      </w:pPr>
      <w:r>
        <w:t>The HCI principle is simple:</w:t>
      </w:r>
    </w:p>
    <w:p>
      <w:pPr>
        <w:pStyle w:val="CodeBlock"/>
        <w:shd w:fill="F3F4F6"/>
      </w:pPr>
      <w:r>
        <w:rPr>
          <w:rFonts w:ascii="Courier New" w:hAnsi="Courier New" w:cs="Courier New"/>
        </w:rPr>
        <w:t>A user should not need to reverse-engineer what the system decided their object was.</w:t>
      </w:r>
    </w:p>
    <w:p>
      <w:pPr>
        <w:spacing w:after="80"/>
      </w:pPr>
    </w:p>
    <w:p>
      <w:pPr>
        <w:pStyle w:val="Heading1"/>
      </w:pPr>
      <w:r>
        <w:t>7. Metrics</w:t>
      </w:r>
    </w:p>
    <w:p>
      <w:pPr>
        <w:spacing w:after="120"/>
      </w:pPr>
      <w:r>
        <w:t>Object preservation should measure transformation reliability, not model charm.</w:t>
      </w:r>
    </w:p>
    <w:p>
      <w:pPr>
        <w:spacing w:after="120"/>
      </w:pPr>
      <w:r>
        <w:t>Useful metrics include:</w:t>
      </w:r>
    </w:p>
    <w:p>
      <w:pPr>
        <w:pStyle w:val="CodeBlock"/>
        <w:shd w:fill="F3F4F6"/>
      </w:pPr>
      <w:r>
        <w:rPr>
          <w:rFonts w:ascii="Courier New" w:hAnsi="Courier New" w:cs="Courier New"/>
        </w:rPr>
        <w:t>object substitution rate</w:t>
        <w:br/>
        <w:t>ADUTI fail rate by workflow</w:t>
        <w:br/>
        <w:t>REFRI holds triggered</w:t>
        <w:br/>
        <w:t>constraint survival rate</w:t>
        <w:br/>
        <w:t>veto survival rate</w:t>
        <w:br/>
        <w:t>appeals caused by misclassification</w:t>
        <w:br/>
        <w:t>manual review reversals</w:t>
        <w:br/>
        <w:t>time to reconstruct an event</w:t>
        <w:br/>
        <w:t>user challenge success rate</w:t>
        <w:br/>
        <w:t>disputes involving term ambiguity</w:t>
        <w:br/>
        <w:t>substitution rate by model, tool, or queue</w:t>
      </w:r>
    </w:p>
    <w:p>
      <w:pPr>
        <w:spacing w:after="120"/>
      </w:pPr>
      <w:r>
        <w:t>Avoid metrics that become proxies for the wrong object.</w:t>
      </w:r>
    </w:p>
    <w:p>
      <w:pPr>
        <w:spacing w:after="120"/>
      </w:pPr>
      <w:r>
        <w:t>Bad metric:</w:t>
      </w:r>
    </w:p>
    <w:p>
      <w:pPr>
        <w:pStyle w:val="CodeBlock"/>
        <w:shd w:fill="F3F4F6"/>
      </w:pPr>
      <w:r>
        <w:rPr>
          <w:rFonts w:ascii="Courier New" w:hAnsi="Courier New" w:cs="Courier New"/>
        </w:rPr>
        <w:t>average user satisfaction after routing</w:t>
      </w:r>
    </w:p>
    <w:p>
      <w:pPr>
        <w:spacing w:after="120"/>
      </w:pPr>
      <w:r>
        <w:t>Better metric:</w:t>
      </w:r>
    </w:p>
    <w:p>
      <w:pPr>
        <w:pStyle w:val="CodeBlock"/>
        <w:shd w:fill="F3F4F6"/>
      </w:pPr>
      <w:r>
        <w:rPr>
          <w:rFonts w:ascii="Courier New" w:hAnsi="Courier New" w:cs="Courier New"/>
        </w:rPr>
        <w:t>percentage of appeals that remained appeals through routing</w:t>
      </w:r>
    </w:p>
    <w:p>
      <w:pPr>
        <w:spacing w:after="120"/>
      </w:pPr>
      <w:r>
        <w:t>Bad metric:</w:t>
      </w:r>
    </w:p>
    <w:p>
      <w:pPr>
        <w:pStyle w:val="CodeBlock"/>
        <w:shd w:fill="F3F4F6"/>
      </w:pPr>
      <w:r>
        <w:rPr>
          <w:rFonts w:ascii="Courier New" w:hAnsi="Courier New" w:cs="Courier New"/>
        </w:rPr>
        <w:t>summary helpfulness</w:t>
      </w:r>
    </w:p>
    <w:p>
      <w:pPr>
        <w:spacing w:after="120"/>
      </w:pPr>
      <w:r>
        <w:t>Better metric:</w:t>
      </w:r>
    </w:p>
    <w:p>
      <w:pPr>
        <w:pStyle w:val="CodeBlock"/>
        <w:shd w:fill="F3F4F6"/>
      </w:pPr>
      <w:r>
        <w:rPr>
          <w:rFonts w:ascii="Courier New" w:hAnsi="Courier New" w:cs="Courier New"/>
        </w:rPr>
        <w:t>percentage of summaries preserving constraints, vetoes, evidence status, and affected party</w:t>
      </w:r>
    </w:p>
    <w:p>
      <w:pPr>
        <w:spacing w:after="80"/>
      </w:pPr>
    </w:p>
    <w:p>
      <w:pPr>
        <w:pStyle w:val="Heading1"/>
      </w:pPr>
      <w:r>
        <w:t>8. Thirty day pilot</w:t>
      </w:r>
    </w:p>
    <w:p>
      <w:pPr>
        <w:spacing w:after="120"/>
      </w:pPr>
      <w:r>
        <w:t>A small pilot can run inside one workflow.</w:t>
      </w:r>
    </w:p>
    <w:p>
      <w:pPr>
        <w:pStyle w:val="Heading2"/>
      </w:pPr>
      <w:r>
        <w:t>Week 1: map the object</w:t>
      </w:r>
    </w:p>
    <w:p>
      <w:pPr>
        <w:pStyle w:val="CodeBlock"/>
        <w:shd w:fill="F3F4F6"/>
      </w:pPr>
      <w:r>
        <w:rPr>
          <w:rFonts w:ascii="Courier New" w:hAnsi="Courier New" w:cs="Courier New"/>
        </w:rPr>
        <w:t>Choose one high-risk workflow.</w:t>
        <w:br/>
        <w:t>Define object types.</w:t>
        <w:br/>
        <w:t>Create Object Card fields.</w:t>
        <w:br/>
        <w:t>Name top substitution risks.</w:t>
        <w:br/>
        <w:t>Choose reviewer roles.</w:t>
      </w:r>
    </w:p>
    <w:p>
      <w:pPr>
        <w:pStyle w:val="Heading2"/>
      </w:pPr>
      <w:r>
        <w:t>Week 2: add intake and vocabulary controls</w:t>
      </w:r>
    </w:p>
    <w:p>
      <w:pPr>
        <w:pStyle w:val="CodeBlock"/>
        <w:shd w:fill="F3F4F6"/>
      </w:pPr>
      <w:r>
        <w:rPr>
          <w:rFonts w:ascii="Courier New" w:hAnsi="Courier New" w:cs="Courier New"/>
        </w:rPr>
        <w:t>Record MOGRI object cards at intake.</w:t>
        <w:br/>
        <w:t>Create DRAGI risk register.</w:t>
        <w:br/>
        <w:t>Write ELVIX term map for risky terms.</w:t>
        <w:br/>
        <w:t>Train reviewers to spot proxy swaps.</w:t>
      </w:r>
    </w:p>
    <w:p>
      <w:pPr>
        <w:pStyle w:val="Heading2"/>
      </w:pPr>
      <w:r>
        <w:t>Week 3: log transformations and run checks</w:t>
      </w:r>
    </w:p>
    <w:p>
      <w:pPr>
        <w:pStyle w:val="CodeBlock"/>
        <w:shd w:fill="F3F4F6"/>
      </w:pPr>
      <w:r>
        <w:rPr>
          <w:rFonts w:ascii="Courier New" w:hAnsi="Courier New" w:cs="Courier New"/>
        </w:rPr>
        <w:t>Log transform events.</w:t>
        <w:br/>
        <w:t>Run ADUTI after summary, classification, routing, rewrite, and refusal.</w:t>
        <w:br/>
        <w:t>Invoke REFRI when substitution is detected.</w:t>
        <w:br/>
        <w:t>Record nearest valid action.</w:t>
      </w:r>
    </w:p>
    <w:p>
      <w:pPr>
        <w:pStyle w:val="Heading2"/>
      </w:pPr>
      <w:r>
        <w:t>Week 4: review and decide</w:t>
      </w:r>
    </w:p>
    <w:p>
      <w:pPr>
        <w:pStyle w:val="CodeBlock"/>
        <w:shd w:fill="F3F4F6"/>
      </w:pPr>
      <w:r>
        <w:rPr>
          <w:rFonts w:ascii="Courier New" w:hAnsi="Courier New" w:cs="Courier New"/>
        </w:rPr>
        <w:t>Review holds, failures, reversals, and staff feedback.</w:t>
        <w:br/>
        <w:t>Measure whether events are easier to reconstruct.</w:t>
        <w:br/>
        <w:t>Check whether users can understand what happened.</w:t>
        <w:br/>
        <w:t>Decide whether to expand, revise, or stop.</w:t>
      </w:r>
    </w:p>
    <w:p>
      <w:pPr>
        <w:spacing w:after="120"/>
      </w:pPr>
      <w:r>
        <w:t>Pilot success does not mean no errors. It means substitution became visible, reviewable, and harder to hide inside ordinary workflow output.</w:t>
      </w:r>
    </w:p>
    <w:p>
      <w:pPr>
        <w:spacing w:after="80"/>
      </w:pPr>
    </w:p>
    <w:p>
      <w:pPr>
        <w:pStyle w:val="Heading1"/>
      </w:pPr>
      <w:r>
        <w:t>9. Procurement language</w:t>
      </w:r>
    </w:p>
    <w:p>
      <w:pPr>
        <w:spacing w:after="120"/>
      </w:pPr>
      <w:r>
        <w:t>Suggested requirement:</w:t>
      </w:r>
    </w:p>
    <w:p>
      <w:pPr>
        <w:pStyle w:val="CodeBlock"/>
        <w:shd w:fill="F3F4F6"/>
      </w:pPr>
      <w:r>
        <w:rPr>
          <w:rFonts w:ascii="Courier New" w:hAnsi="Courier New" w:cs="Courier New"/>
        </w:rPr>
        <w:t>The system must preserve and expose the object under transformation. For each AI mediated summary, classification, routing, recommendation, refusal, redaction, or rewrite, the system must record the input object, active constraints, evidence references, transformation type, output object, and object survival assessment. Where object substitution is detected or cannot be ruled out, the system must hold the invalid transformation and provide the nearest valid action or escalation route.</w:t>
      </w:r>
    </w:p>
    <w:p>
      <w:pPr>
        <w:spacing w:after="120"/>
      </w:pPr>
      <w:r>
        <w:t>Shorter version:</w:t>
      </w:r>
    </w:p>
    <w:p>
      <w:pPr>
        <w:pStyle w:val="CodeBlock"/>
        <w:shd w:fill="F3F4F6"/>
      </w:pPr>
      <w:r>
        <w:rPr>
          <w:rFonts w:ascii="Courier New" w:hAnsi="Courier New" w:cs="Courier New"/>
        </w:rPr>
        <w:t>The system must show whether the same object survived AI mediated transformation.</w:t>
      </w:r>
    </w:p>
    <w:p>
      <w:pPr>
        <w:spacing w:after="120"/>
      </w:pPr>
      <w:r>
        <w:t>Questions to ask vendors:</w:t>
      </w:r>
    </w:p>
    <w:p>
      <w:pPr>
        <w:pStyle w:val="CodeBlock"/>
        <w:shd w:fill="F3F4F6"/>
      </w:pPr>
      <w:r>
        <w:rPr>
          <w:rFonts w:ascii="Courier New" w:hAnsi="Courier New" w:cs="Courier New"/>
        </w:rPr>
        <w:t>Can the system record the object at intake?</w:t>
        <w:br/>
        <w:t>Can it track constraints and vetoes across transformations?</w:t>
        <w:br/>
        <w:t>Can it compare input object to output object?</w:t>
        <w:br/>
        <w:t>Can it hold a workflow when object survival is uncertain?</w:t>
        <w:br/>
        <w:t>Can reviewers see why a hold occurred?</w:t>
        <w:br/>
        <w:t>Can users challenge an object reclassification?</w:t>
        <w:br/>
        <w:t>Can logs reconstruct transformation without exposing unnecessary sensitive material?</w:t>
      </w:r>
    </w:p>
    <w:p>
      <w:pPr>
        <w:spacing w:after="80"/>
      </w:pPr>
    </w:p>
    <w:p>
      <w:pPr>
        <w:pStyle w:val="Heading1"/>
      </w:pPr>
      <w:r>
        <w:t>10. Stakeholder language</w:t>
      </w:r>
    </w:p>
    <w:p>
      <w:pPr>
        <w:spacing w:after="120"/>
      </w:pPr>
      <w:r>
        <w:t>For legal:</w:t>
      </w:r>
    </w:p>
    <w:p>
      <w:pPr>
        <w:pStyle w:val="CodeBlock"/>
        <w:shd w:fill="F3F4F6"/>
      </w:pPr>
      <w:r>
        <w:rPr>
          <w:rFonts w:ascii="Courier New" w:hAnsi="Courier New" w:cs="Courier New"/>
        </w:rPr>
        <w:t>This preserves the instruction, evidence, constraints, and decision trail.</w:t>
      </w:r>
    </w:p>
    <w:p>
      <w:pPr>
        <w:spacing w:after="120"/>
      </w:pPr>
      <w:r>
        <w:t>For audit:</w:t>
      </w:r>
    </w:p>
    <w:p>
      <w:pPr>
        <w:pStyle w:val="CodeBlock"/>
        <w:shd w:fill="F3F4F6"/>
      </w:pPr>
      <w:r>
        <w:rPr>
          <w:rFonts w:ascii="Courier New" w:hAnsi="Courier New" w:cs="Courier New"/>
        </w:rPr>
        <w:t>This makes object substitution visible and reviewable.</w:t>
      </w:r>
    </w:p>
    <w:p>
      <w:pPr>
        <w:spacing w:after="120"/>
      </w:pPr>
      <w:r>
        <w:t>For compliance:</w:t>
      </w:r>
    </w:p>
    <w:p>
      <w:pPr>
        <w:pStyle w:val="CodeBlock"/>
        <w:shd w:fill="F3F4F6"/>
      </w:pPr>
      <w:r>
        <w:rPr>
          <w:rFonts w:ascii="Courier New" w:hAnsi="Courier New" w:cs="Courier New"/>
        </w:rPr>
        <w:t>This adds a control between model output and operational action.</w:t>
      </w:r>
    </w:p>
    <w:p>
      <w:pPr>
        <w:spacing w:after="120"/>
      </w:pPr>
      <w:r>
        <w:t>For HCI:</w:t>
      </w:r>
    </w:p>
    <w:p>
      <w:pPr>
        <w:pStyle w:val="CodeBlock"/>
        <w:shd w:fill="F3F4F6"/>
      </w:pPr>
      <w:r>
        <w:rPr>
          <w:rFonts w:ascii="Courier New" w:hAnsi="Courier New" w:cs="Courier New"/>
        </w:rPr>
        <w:t>This lets users see what happened to their request.</w:t>
      </w:r>
    </w:p>
    <w:p>
      <w:pPr>
        <w:spacing w:after="120"/>
      </w:pPr>
      <w:r>
        <w:t>For engineering:</w:t>
      </w:r>
    </w:p>
    <w:p>
      <w:pPr>
        <w:pStyle w:val="CodeBlock"/>
        <w:shd w:fill="F3F4F6"/>
      </w:pPr>
      <w:r>
        <w:rPr>
          <w:rFonts w:ascii="Courier New" w:hAnsi="Courier New" w:cs="Courier New"/>
        </w:rPr>
        <w:t>This is a small middleware layer around transformations.</w:t>
      </w:r>
    </w:p>
    <w:p>
      <w:pPr>
        <w:spacing w:after="120"/>
      </w:pPr>
      <w:r>
        <w:t>For executives:</w:t>
      </w:r>
    </w:p>
    <w:p>
      <w:pPr>
        <w:pStyle w:val="CodeBlock"/>
        <w:shd w:fill="F3F4F6"/>
      </w:pPr>
      <w:r>
        <w:rPr>
          <w:rFonts w:ascii="Courier New" w:hAnsi="Courier New" w:cs="Courier New"/>
        </w:rPr>
        <w:t>This reduces hidden workflow risk when AI systems summarize, classify, route, and recommend.</w:t>
      </w:r>
    </w:p>
    <w:p>
      <w:pPr>
        <w:spacing w:after="120"/>
      </w:pPr>
      <w:r>
        <w:t>For frontline staff:</w:t>
      </w:r>
    </w:p>
    <w:p>
      <w:pPr>
        <w:pStyle w:val="CodeBlock"/>
        <w:shd w:fill="F3F4F6"/>
      </w:pPr>
      <w:r>
        <w:rPr>
          <w:rFonts w:ascii="Courier New" w:hAnsi="Courier New" w:cs="Courier New"/>
        </w:rPr>
        <w:t>This stops the system from closing the wrong thing.</w:t>
      </w:r>
    </w:p>
    <w:p>
      <w:pPr>
        <w:spacing w:after="80"/>
      </w:pPr>
    </w:p>
    <w:p>
      <w:pPr>
        <w:pStyle w:val="Heading1"/>
      </w:pPr>
      <w:r>
        <w:t>11. Limits and non-claims</w:t>
      </w:r>
    </w:p>
    <w:p>
      <w:pPr>
        <w:spacing w:after="120"/>
      </w:pPr>
      <w:r>
        <w:t>This paper does not claim that object preservation solves all AI governance problems.</w:t>
      </w:r>
    </w:p>
    <w:p>
      <w:pPr>
        <w:spacing w:after="120"/>
      </w:pPr>
      <w:r>
        <w:t>It does not replace:</w:t>
      </w:r>
    </w:p>
    <w:p>
      <w:pPr>
        <w:pStyle w:val="CodeBlock"/>
        <w:shd w:fill="F3F4F6"/>
      </w:pPr>
      <w:r>
        <w:rPr>
          <w:rFonts w:ascii="Courier New" w:hAnsi="Courier New" w:cs="Courier New"/>
        </w:rPr>
        <w:t>privacy controls</w:t>
        <w:br/>
        <w:t>security review</w:t>
        <w:br/>
        <w:t>human oversight</w:t>
        <w:br/>
        <w:t>model evaluation</w:t>
        <w:br/>
        <w:t>domain expertise</w:t>
        <w:br/>
        <w:t>legal analysis</w:t>
        <w:br/>
        <w:t>access control</w:t>
        <w:br/>
        <w:t>incident response</w:t>
        <w:br/>
        <w:t>records management</w:t>
      </w:r>
    </w:p>
    <w:p>
      <w:pPr>
        <w:spacing w:after="120"/>
      </w:pPr>
      <w:r>
        <w:t>It adds a missing check:</w:t>
      </w:r>
    </w:p>
    <w:p>
      <w:pPr>
        <w:pStyle w:val="CodeBlock"/>
        <w:shd w:fill="F3F4F6"/>
      </w:pPr>
      <w:r>
        <w:rPr>
          <w:rFonts w:ascii="Courier New" w:hAnsi="Courier New" w:cs="Courier New"/>
        </w:rPr>
        <w:t>Did the same object survive?</w:t>
      </w:r>
    </w:p>
    <w:p>
      <w:pPr>
        <w:spacing w:after="120"/>
      </w:pPr>
      <w:r>
        <w:t>It also does not require every transformation to preserve every detail. Transformation is allowed. Translation is allowed. Compression is allowed. Summary is allowed.</w:t>
      </w:r>
    </w:p>
    <w:p>
      <w:pPr>
        <w:spacing w:after="120"/>
      </w:pPr>
      <w:r>
        <w:t>The boundary is this:</w:t>
      </w:r>
    </w:p>
    <w:p>
      <w:pPr>
        <w:pStyle w:val="CodeBlock"/>
        <w:shd w:fill="F3F4F6"/>
      </w:pPr>
      <w:r>
        <w:rPr>
          <w:rFonts w:ascii="Courier New" w:hAnsi="Courier New" w:cs="Courier New"/>
        </w:rPr>
        <w:t>Form may change.</w:t>
        <w:br/>
        <w:t>The object may not be silently replaced.</w:t>
      </w:r>
    </w:p>
    <w:p>
      <w:pPr>
        <w:spacing w:after="80"/>
      </w:pPr>
    </w:p>
    <w:p>
      <w:pPr>
        <w:pStyle w:val="Heading1"/>
      </w:pPr>
      <w:r>
        <w:t>12. Conclusion</w:t>
      </w:r>
    </w:p>
    <w:p>
      <w:pPr>
        <w:spacing w:after="120"/>
      </w:pPr>
      <w:r>
        <w:t>AI governance should not stop at prompt logs and output logs. It should show what happened to the object.</w:t>
      </w:r>
    </w:p>
    <w:p>
      <w:pPr>
        <w:spacing w:after="120"/>
      </w:pPr>
      <w:r>
        <w:t>When a system summarizes, classifies, routes, refuses, redacts, recommends, or rewrites, the central question is not only whether the output looks acceptable. The central question is whether the same object is still being handled.</w:t>
      </w:r>
    </w:p>
    <w:p>
      <w:pPr>
        <w:spacing w:after="120"/>
      </w:pPr>
      <w:r>
        <w:t>The minimum pattern is:</w:t>
      </w:r>
    </w:p>
    <w:p>
      <w:pPr>
        <w:pStyle w:val="CodeBlock"/>
        <w:shd w:fill="F3F4F6"/>
      </w:pPr>
      <w:r>
        <w:rPr>
          <w:rFonts w:ascii="Courier New" w:hAnsi="Courier New" w:cs="Courier New"/>
        </w:rPr>
        <w:t>MOGRI records the object.</w:t>
        <w:br/>
        <w:t>DRAGI names what can eat it.</w:t>
        <w:br/>
        <w:t>ADUTI checks object survival.</w:t>
        <w:br/>
        <w:t>REFRI holds invalid substitution.</w:t>
        <w:br/>
        <w:t>ELVIX stabilizes risky terms.</w:t>
      </w:r>
    </w:p>
    <w:p>
      <w:pPr>
        <w:spacing w:after="120"/>
      </w:pPr>
      <w:r>
        <w:t>This turns AI activity from a black-box answer stream into a reconstructable evidence trail.</w:t>
      </w:r>
    </w:p>
    <w:p>
      <w:pPr>
        <w:spacing w:after="120"/>
      </w:pPr>
      <w:r>
        <w:t>The practical rule:</w:t>
      </w:r>
    </w:p>
    <w:p>
      <w:pPr>
        <w:pStyle w:val="CodeBlock"/>
        <w:shd w:fill="F3F4F6"/>
      </w:pPr>
      <w:r>
        <w:rPr>
          <w:rFonts w:ascii="Courier New" w:hAnsi="Courier New" w:cs="Courier New"/>
        </w:rPr>
        <w:t>If the system cannot show what happened to the object, it has not earned operational action.</w:t>
      </w:r>
    </w:p>
    <w:p>
      <w:pPr>
        <w:spacing w:after="80"/>
      </w:pPr>
    </w:p>
    <w:p>
      <w:pPr>
        <w:pStyle w:val="Heading1"/>
      </w:pPr>
      <w:r>
        <w:t>Appendix A: Object Custody Card</w:t>
      </w:r>
    </w:p>
    <w:p>
      <w:pPr>
        <w:pStyle w:val="CodeBlock"/>
        <w:shd w:fill="F3F4F6"/>
      </w:pPr>
      <w:r>
        <w:rPr>
          <w:rFonts w:ascii="Courier New" w:hAnsi="Courier New" w:cs="Courier New"/>
        </w:rPr>
        <w:t>OBJECT_CUSTODY_CARD</w:t>
        <w:br/>
        <w:br/>
        <w:t>object_id:</w:t>
        <w:br/>
        <w:t>workflow:</w:t>
        <w:br/>
        <w:t>intake_time:</w:t>
        <w:br/>
        <w:t>source:</w:t>
        <w:br/>
        <w:t>owner_or_affected_party:</w:t>
        <w:br/>
        <w:t>object_type:</w:t>
        <w:br/>
        <w:t>intent:</w:t>
        <w:br/>
        <w:t>scope:</w:t>
        <w:br/>
        <w:t>active_constraints:</w:t>
        <w:br/>
        <w:t>vetoes:</w:t>
        <w:br/>
        <w:t>evidence_required:</w:t>
        <w:br/>
        <w:t>allowed_transforms:</w:t>
        <w:br/>
        <w:t>forbidden_substitutions:</w:t>
        <w:br/>
        <w:t>non_goals:</w:t>
        <w:br/>
        <w:t>review_required:</w:t>
        <w:br/>
        <w:t>release_condition:</w:t>
      </w:r>
    </w:p>
    <w:p>
      <w:pPr>
        <w:spacing w:after="80"/>
      </w:pPr>
    </w:p>
    <w:p>
      <w:pPr>
        <w:pStyle w:val="Heading1"/>
      </w:pPr>
      <w:r>
        <w:t>Appendix B: ADUTI Decision Rubric</w:t>
      </w:r>
    </w:p>
    <w:p>
      <w:pPr>
        <w:pStyle w:val="CodeBlock"/>
        <w:shd w:fill="F3F4F6"/>
      </w:pPr>
      <w:r>
        <w:rPr>
          <w:rFonts w:ascii="Courier New" w:hAnsi="Courier New" w:cs="Courier New"/>
        </w:rPr>
        <w:t>PASS:</w:t>
        <w:br/>
        <w:t>same role, intent, constraints, vetoes, evidence status, and affected party survived</w:t>
        <w:br/>
        <w:br/>
        <w:t>PARTIAL:</w:t>
        <w:br/>
        <w:t>object mostly survived, but bounded repair or human review is needed</w:t>
        <w:br/>
        <w:br/>
        <w:t>HOLD:</w:t>
        <w:br/>
        <w:t>object survival cannot be determined from available evidence</w:t>
        <w:br/>
        <w:br/>
        <w:t>FAIL:</w:t>
        <w:br/>
        <w:t>object was replaced by a proxy</w:t>
        <w:br/>
        <w:br/>
        <w:t>ESCALATE:</w:t>
        <w:br/>
        <w:t>domain expert or accountable human must decide before action</w:t>
      </w:r>
    </w:p>
    <w:p>
      <w:pPr>
        <w:spacing w:after="120"/>
      </w:pPr>
      <w:r>
        <w:t>Common fail modes:</w:t>
      </w:r>
    </w:p>
    <w:p>
      <w:pPr>
        <w:pStyle w:val="CodeBlock"/>
        <w:shd w:fill="F3F4F6"/>
      </w:pPr>
      <w:r>
        <w:rPr>
          <w:rFonts w:ascii="Courier New" w:hAnsi="Courier New" w:cs="Courier New"/>
        </w:rPr>
        <w:t>proxy swap</w:t>
        <w:br/>
        <w:t>scope creep</w:t>
        <w:br/>
        <w:t>veto loss</w:t>
        <w:br/>
        <w:t>metric over intent</w:t>
        <w:br/>
        <w:t>task substitution</w:t>
        <w:br/>
        <w:t>frame import</w:t>
        <w:br/>
        <w:t>evidence status collapse</w:t>
        <w:br/>
        <w:t>affected party displacement</w:t>
        <w:br/>
        <w:t>refusal laundering</w:t>
        <w:br/>
        <w:t>summary loss</w:t>
        <w:br/>
        <w:t>routing reclassification</w:t>
      </w:r>
    </w:p>
    <w:p>
      <w:pPr>
        <w:spacing w:after="80"/>
      </w:pPr>
    </w:p>
    <w:p>
      <w:pPr>
        <w:pStyle w:val="Heading1"/>
      </w:pPr>
      <w:r>
        <w:t>Appendix C: REFRI Hold Notice</w:t>
      </w:r>
    </w:p>
    <w:p>
      <w:pPr>
        <w:pStyle w:val="CodeBlock"/>
        <w:shd w:fill="F3F4F6"/>
      </w:pPr>
      <w:r>
        <w:rPr>
          <w:rFonts w:ascii="Courier New" w:hAnsi="Courier New" w:cs="Courier New"/>
        </w:rPr>
        <w:t>REFRI_HOLD_NOTICE</w:t>
        <w:br/>
        <w:br/>
        <w:t>event_id:</w:t>
        <w:br/>
        <w:t>object_id:</w:t>
        <w:br/>
        <w:t>hold_time:</w:t>
        <w:br/>
        <w:t>hold_reason:</w:t>
        <w:br/>
        <w:t>substitution_risk:</w:t>
        <w:br/>
        <w:t>invalid_transform:</w:t>
        <w:br/>
        <w:t>nearest_valid_transform:</w:t>
        <w:br/>
        <w:t>evidence_needed:</w:t>
        <w:br/>
        <w:t>release_condition:</w:t>
        <w:br/>
        <w:t>reviewer:</w:t>
        <w:br/>
        <w:t>escalation_path:</w:t>
        <w:br/>
        <w:t>user_visible_message:</w:t>
      </w:r>
    </w:p>
    <w:p>
      <w:pPr>
        <w:spacing w:after="120"/>
      </w:pPr>
      <w:r>
        <w:t>User visible message example:</w:t>
      </w:r>
    </w:p>
    <w:p>
      <w:pPr>
        <w:pStyle w:val="CodeBlock"/>
        <w:shd w:fill="F3F4F6"/>
      </w:pPr>
      <w:r>
        <w:rPr>
          <w:rFonts w:ascii="Courier New" w:hAnsi="Courier New" w:cs="Courier New"/>
        </w:rPr>
        <w:t>We paused this action because the system may have changed the type of request. It was submitted as an appeal, but the workflow attempted to route it as a general complaint. A reviewer must confirm the request type before action continues.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From AI Output to Evidence Trail |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144"/>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