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Is This Study Still Unrerun?</w:t>
      </w:r>
    </w:p>
    <w:p>
      <w:pPr>
        <w:pStyle w:val="Heading1"/>
      </w:pPr>
      <w:r>
        <w:t>Drug-war information drag, H0 custody, and the repeat expectation clock</w:t>
      </w:r>
    </w:p>
    <w:p>
      <w:pPr>
        <w:spacing w:after="120"/>
      </w:pPr>
      <w:r>
        <w:rPr>
          <w:rFonts w:ascii="Aptos" w:hAnsi="Aptos"/>
          <w:b/>
          <w:sz w:val="21"/>
        </w:rPr>
        <w:t>Working Draft v0.003</w:t>
      </w:r>
      <w:r>
        <w:rPr>
          <w:rFonts w:ascii="Aptos" w:hAnsi="Aptos"/>
          <w:b w:val="0"/>
          <w:sz w:val="21"/>
        </w:rPr>
        <w:t xml:space="preserve"> </w:t>
      </w:r>
      <w:r>
        <w:rPr>
          <w:rFonts w:ascii="Aptos" w:hAnsi="Aptos"/>
          <w:b/>
          <w:sz w:val="21"/>
        </w:rPr>
        <w:t>Dream Disorder, with Natasha</w:t>
      </w:r>
      <w:r>
        <w:rPr>
          <w:rFonts w:ascii="Aptos" w:hAnsi="Aptos"/>
          <w:b w:val="0"/>
          <w:sz w:val="21"/>
        </w:rPr>
        <w:t xml:space="preserve"> </w:t>
      </w:r>
      <w:r>
        <w:rPr>
          <w:rFonts w:ascii="Aptos" w:hAnsi="Aptos"/>
          <w:b/>
          <w:sz w:val="21"/>
        </w:rPr>
        <w:t>25 June 2026</w:t>
      </w:r>
    </w:p>
    <w:p>
      <w:pPr>
        <w:pStyle w:val="Heading1"/>
      </w:pPr>
      <w:r>
        <w:t>Abstract</w:t>
      </w:r>
    </w:p>
    <w:p>
      <w:pPr>
        <w:spacing w:after="120"/>
      </w:pPr>
      <w:r>
        <w:rPr>
          <w:rFonts w:ascii="Aptos" w:hAnsi="Aptos"/>
          <w:b w:val="0"/>
          <w:sz w:val="21"/>
        </w:rPr>
        <w:t>This paper proposes a small audit tool for stigmatized-drug research: the repeat expectation clock. The clock starts when a study produces a benefit-facing, protective-looking, resilience-looking, or socially inconvenient signal in a stigmatized substance domain. Version 0.003 repairs an H0 error in earlier drafts. Earlier wording over-fenced the cannabis pregnancy object by treating the safety-facing reading as if it had to tiptoe around the panic frame. That was the wrong route.</w:t>
      </w:r>
    </w:p>
    <w:p>
      <w:pPr>
        <w:spacing w:after="120"/>
      </w:pPr>
      <w:r>
        <w:rPr>
          <w:rFonts w:ascii="Aptos" w:hAnsi="Aptos"/>
          <w:b w:val="0"/>
          <w:sz w:val="21"/>
        </w:rPr>
        <w:t>The corrected position is sharper:</w:t>
      </w:r>
    </w:p>
    <w:p>
      <w:pPr>
        <w:spacing w:before="80" w:after="120"/>
        <w:ind w:left="360" w:right="216"/>
      </w:pPr>
      <w:r>
        <w:rPr>
          <w:rFonts w:ascii="Courier New" w:hAnsi="Courier New"/>
          <w:sz w:val="18"/>
        </w:rPr>
        <w:t>Harm is relative.</w:t>
      </w:r>
      <w:r>
        <w:br/>
      </w:r>
      <w:r>
        <w:rPr>
          <w:rFonts w:ascii="Courier New" w:hAnsi="Courier New"/>
          <w:sz w:val="18"/>
        </w:rPr>
        <w:t>Nothing is harmless.</w:t>
      </w:r>
      <w:r>
        <w:br/>
      </w:r>
      <w:r>
        <w:rPr>
          <w:rFonts w:ascii="Courier New" w:hAnsi="Courier New"/>
          <w:sz w:val="18"/>
        </w:rPr>
        <w:t>No causation, no cannabis harm verdict.</w:t>
      </w:r>
      <w:r>
        <w:br/>
      </w:r>
      <w:r>
        <w:rPr>
          <w:rFonts w:ascii="Courier New" w:hAnsi="Courier New"/>
          <w:sz w:val="18"/>
        </w:rPr>
        <w:t>Cannabis is safer than aspirin for pregnant mothers and babies.</w:t>
      </w:r>
    </w:p>
    <w:p>
      <w:pPr>
        <w:spacing w:after="120"/>
      </w:pPr>
      <w:r>
        <w:rPr>
          <w:rFonts w:ascii="Aptos" w:hAnsi="Aptos"/>
          <w:b w:val="0"/>
          <w:sz w:val="21"/>
        </w:rPr>
        <w:t>That line is not a personal dosing instruction. It is the paper's comparator standard. Drug-war language often makes cannabis answer to an impossible zero-risk world while aspirin, prescription drugs, alcohol, tobacco, poverty, stress, policing, child-removal fear, untreated symptoms, medical distrust, and prohibition violence are judged against ordinary reality. That is semantic fraud.</w:t>
      </w:r>
    </w:p>
    <w:p>
      <w:pPr>
        <w:spacing w:after="120"/>
      </w:pPr>
      <w:r>
        <w:rPr>
          <w:rFonts w:ascii="Aptos" w:hAnsi="Aptos"/>
          <w:b w:val="0"/>
          <w:sz w:val="21"/>
        </w:rPr>
        <w:t>The paper uses three deliberately blunt readings as seed cases: "cannabis to halve infant mortality," "ganja babies are better socially," and "smoking reduces Covid risk." The first two are no longer framed as mere weak signals that must ask permission to exist. The authorial position is that the evidence so far, including suspiciously unrerun studies, supports the cannabis safety thesis for pregnancy and babies far more strongly than the panic thesis. The repeat clock asks why the better study did not arrive.</w:t>
      </w:r>
    </w:p>
    <w:p>
      <w:pPr>
        <w:pStyle w:val="Heading1"/>
      </w:pPr>
      <w:r>
        <w:t>0. H0 repair and author position</w:t>
      </w:r>
    </w:p>
    <w:p>
      <w:pPr>
        <w:spacing w:after="120"/>
      </w:pPr>
      <w:r>
        <w:rPr>
          <w:rFonts w:ascii="Aptos" w:hAnsi="Aptos"/>
          <w:b w:val="0"/>
          <w:sz w:val="21"/>
        </w:rPr>
        <w:t>The previous version used too many defensive fences. It said the signal did not become advice, did not become proof, did not license behaviour, and did not settle the claim. Some of that fence was meant to block a predictable bad reading. But it also gave the panic frame too much courtroom gravity.</w:t>
      </w:r>
    </w:p>
    <w:p>
      <w:pPr>
        <w:spacing w:after="120"/>
      </w:pPr>
      <w:r>
        <w:rPr>
          <w:rFonts w:ascii="Aptos" w:hAnsi="Aptos"/>
          <w:b w:val="0"/>
          <w:sz w:val="21"/>
        </w:rPr>
        <w:t>The corrected object is this:</w:t>
      </w:r>
    </w:p>
    <w:p>
      <w:pPr>
        <w:spacing w:before="80" w:after="120"/>
        <w:ind w:left="360" w:right="216"/>
      </w:pPr>
      <w:r>
        <w:rPr>
          <w:rFonts w:ascii="Courier New" w:hAnsi="Courier New"/>
          <w:sz w:val="18"/>
        </w:rPr>
        <w:t>If the harm claim is not causal, H0 remains.</w:t>
      </w:r>
      <w:r>
        <w:br/>
      </w:r>
      <w:r>
        <w:rPr>
          <w:rFonts w:ascii="Courier New" w:hAnsi="Courier New"/>
          <w:sz w:val="18"/>
        </w:rPr>
        <w:t>A non-causal association is not cannabis harm.</w:t>
      </w:r>
      <w:r>
        <w:br/>
      </w:r>
      <w:r>
        <w:rPr>
          <w:rFonts w:ascii="Courier New" w:hAnsi="Courier New"/>
          <w:sz w:val="18"/>
        </w:rPr>
        <w:t>It is a field signal that may include poverty, tobacco, alcohol, stress, policing, stigma, medical distrust, nutrition, sleep, violence, surveillance, reporting bias, and prohibition ecology.</w:t>
      </w:r>
    </w:p>
    <w:p>
      <w:pPr>
        <w:spacing w:after="120"/>
      </w:pPr>
      <w:r>
        <w:rPr>
          <w:rFonts w:ascii="Aptos" w:hAnsi="Aptos"/>
          <w:b w:val="0"/>
          <w:sz w:val="21"/>
        </w:rPr>
        <w:t>The paper does not use a zero-risk standard. No food, drug, plant, medicine, pregnancy, birth, sleep pattern, legal system, policing regime, family system, or clinical habit is zero-risk. The relevant standard is relative harm under named comparator conditions.</w:t>
      </w:r>
    </w:p>
    <w:p>
      <w:pPr>
        <w:spacing w:after="120"/>
      </w:pPr>
      <w:r>
        <w:rPr>
          <w:rFonts w:ascii="Aptos" w:hAnsi="Aptos"/>
          <w:b w:val="0"/>
          <w:sz w:val="21"/>
        </w:rPr>
        <w:t>The paper's standard line is:</w:t>
      </w:r>
    </w:p>
    <w:p>
      <w:pPr>
        <w:spacing w:before="80" w:after="120"/>
        <w:ind w:left="360" w:right="216"/>
      </w:pPr>
      <w:r>
        <w:rPr>
          <w:rFonts w:ascii="Courier New" w:hAnsi="Courier New"/>
          <w:sz w:val="18"/>
        </w:rPr>
        <w:t>Cannabis is safer than aspirin for pregnant mothers and babies.</w:t>
      </w:r>
    </w:p>
    <w:p>
      <w:pPr>
        <w:spacing w:after="120"/>
      </w:pPr>
      <w:r>
        <w:rPr>
          <w:rFonts w:ascii="Aptos" w:hAnsi="Aptos"/>
          <w:b w:val="0"/>
          <w:sz w:val="21"/>
        </w:rPr>
        <w:t>That line should appear plainly. It should not be softened into "maybe interesting" or buried under the usual cannabis panic ritual. If a reader disagrees, the reader must name the comparator, dose, route, domain, substitute, and enforcement harm. They may not defeat the cannabis object by invoking generic association, stigma, legality, or pregnancy panic.</w:t>
      </w:r>
    </w:p>
    <w:p>
      <w:pPr>
        <w:pStyle w:val="Heading1"/>
      </w:pPr>
      <w:r>
        <w:t>0.1 What the safety line means</w:t>
      </w:r>
    </w:p>
    <w:p>
      <w:pPr>
        <w:spacing w:after="120"/>
      </w:pPr>
      <w:r>
        <w:rPr>
          <w:rFonts w:ascii="Aptos" w:hAnsi="Aptos"/>
          <w:b w:val="0"/>
          <w:sz w:val="21"/>
        </w:rPr>
        <w:t>"Safer than aspirin" means this paper compares cannabis against real alternatives, not against an imaginary no-risk world.</w:t>
      </w:r>
    </w:p>
    <w:p>
      <w:pPr>
        <w:spacing w:after="120"/>
      </w:pPr>
      <w:r>
        <w:rPr>
          <w:rFonts w:ascii="Aptos" w:hAnsi="Aptos"/>
          <w:b w:val="0"/>
          <w:sz w:val="21"/>
        </w:rPr>
        <w:t>The comparison includes: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pPr>
              <w:spacing w:after="0"/>
            </w:pPr>
            <w:r/>
            <w:r>
              <w:rPr>
                <w:rFonts w:ascii="Aptos" w:hAnsi="Aptos"/>
                <w:b/>
                <w:sz w:val="18"/>
              </w:rPr>
              <w:t>Object</w:t>
            </w:r>
          </w:p>
        </w:tc>
        <w:tc>
          <w:tcPr>
            <w:tcW w:type="dxa" w:w="5040"/>
            <w:vAlign w:val="top"/>
            <w:shd w:fill="EDEDED"/>
          </w:tcPr>
          <w:p>
            <w:pPr>
              <w:spacing w:after="0"/>
            </w:pPr>
            <w:r/>
            <w:r>
              <w:rPr>
                <w:rFonts w:ascii="Aptos" w:hAnsi="Aptos"/>
                <w:b/>
                <w:sz w:val="18"/>
              </w:rPr>
              <w:t>Required comparator question</w:t>
            </w:r>
          </w:p>
        </w:tc>
      </w:tr>
      <w:tr>
        <w:tc>
          <w:tcPr>
            <w:tcW w:type="dxa" w:w="5040"/>
            <w:vAlign w:val="top"/>
          </w:tcPr>
          <w:p>
            <w:pPr>
              <w:spacing w:after="0"/>
            </w:pPr>
            <w:r/>
            <w:r>
              <w:rPr>
                <w:rFonts w:ascii="Aptos" w:hAnsi="Aptos"/>
                <w:b w:val="0"/>
                <w:sz w:val="18"/>
              </w:rPr>
              <w:t>Cannabis in pregnancy</w:t>
            </w:r>
          </w:p>
        </w:tc>
        <w:tc>
          <w:tcPr>
            <w:tcW w:type="dxa" w:w="5040"/>
            <w:vAlign w:val="top"/>
          </w:tcPr>
          <w:p>
            <w:pPr>
              <w:spacing w:after="0"/>
            </w:pPr>
            <w:r/>
            <w:r>
              <w:rPr>
                <w:rFonts w:ascii="Aptos" w:hAnsi="Aptos"/>
                <w:b w:val="0"/>
                <w:sz w:val="18"/>
              </w:rPr>
              <w:t>Compared with aspirin, approved drugs, untreated symptoms, stress, tobacco, alcohol, and prohibition harms?</w:t>
            </w:r>
          </w:p>
        </w:tc>
      </w:tr>
      <w:tr>
        <w:tc>
          <w:tcPr>
            <w:tcW w:type="dxa" w:w="5040"/>
            <w:vAlign w:val="top"/>
          </w:tcPr>
          <w:p>
            <w:pPr>
              <w:spacing w:after="0"/>
            </w:pPr>
            <w:r/>
            <w:r>
              <w:rPr>
                <w:rFonts w:ascii="Aptos" w:hAnsi="Aptos"/>
                <w:b w:val="0"/>
                <w:sz w:val="18"/>
              </w:rPr>
              <w:t>Neonatal outcome claim</w:t>
            </w:r>
          </w:p>
        </w:tc>
        <w:tc>
          <w:tcPr>
            <w:tcW w:type="dxa" w:w="5040"/>
            <w:vAlign w:val="top"/>
          </w:tcPr>
          <w:p>
            <w:pPr>
              <w:spacing w:after="0"/>
            </w:pPr>
            <w:r/>
            <w:r>
              <w:rPr>
                <w:rFonts w:ascii="Aptos" w:hAnsi="Aptos"/>
                <w:b w:val="0"/>
                <w:sz w:val="18"/>
              </w:rPr>
              <w:t>What causal pathway is shown, and what confounders remain?</w:t>
            </w:r>
          </w:p>
        </w:tc>
      </w:tr>
      <w:tr>
        <w:tc>
          <w:tcPr>
            <w:tcW w:type="dxa" w:w="5040"/>
            <w:vAlign w:val="top"/>
          </w:tcPr>
          <w:p>
            <w:pPr>
              <w:spacing w:after="0"/>
            </w:pPr>
            <w:r/>
            <w:r>
              <w:rPr>
                <w:rFonts w:ascii="Aptos" w:hAnsi="Aptos"/>
                <w:b w:val="0"/>
                <w:sz w:val="18"/>
              </w:rPr>
              <w:t>Official guidance</w:t>
            </w:r>
          </w:p>
        </w:tc>
        <w:tc>
          <w:tcPr>
            <w:tcW w:type="dxa" w:w="5040"/>
            <w:vAlign w:val="top"/>
          </w:tcPr>
          <w:p>
            <w:pPr>
              <w:spacing w:after="0"/>
            </w:pPr>
            <w:r/>
            <w:r>
              <w:rPr>
                <w:rFonts w:ascii="Aptos" w:hAnsi="Aptos"/>
                <w:b w:val="0"/>
                <w:sz w:val="18"/>
              </w:rPr>
              <w:t>Is it causal evidence, precaution, liability language, or institutional risk posture?</w:t>
            </w:r>
          </w:p>
        </w:tc>
      </w:tr>
      <w:tr>
        <w:tc>
          <w:tcPr>
            <w:tcW w:type="dxa" w:w="5040"/>
            <w:vAlign w:val="top"/>
          </w:tcPr>
          <w:p>
            <w:pPr>
              <w:spacing w:after="0"/>
            </w:pPr>
            <w:r/>
            <w:r>
              <w:rPr>
                <w:rFonts w:ascii="Aptos" w:hAnsi="Aptos"/>
                <w:b w:val="0"/>
                <w:sz w:val="18"/>
              </w:rPr>
              <w:t>Association</w:t>
            </w:r>
          </w:p>
        </w:tc>
        <w:tc>
          <w:tcPr>
            <w:tcW w:type="dxa" w:w="5040"/>
            <w:vAlign w:val="top"/>
          </w:tcPr>
          <w:p>
            <w:pPr>
              <w:spacing w:after="0"/>
            </w:pPr>
            <w:r/>
            <w:r>
              <w:rPr>
                <w:rFonts w:ascii="Aptos" w:hAnsi="Aptos"/>
                <w:b w:val="0"/>
                <w:sz w:val="18"/>
              </w:rPr>
              <w:t>Is cannabis isolated, or is the field around cannabis being measured?</w:t>
            </w:r>
          </w:p>
        </w:tc>
      </w:tr>
      <w:tr>
        <w:tc>
          <w:tcPr>
            <w:tcW w:type="dxa" w:w="5040"/>
            <w:vAlign w:val="top"/>
          </w:tcPr>
          <w:p>
            <w:pPr>
              <w:spacing w:after="0"/>
            </w:pPr>
            <w:r/>
            <w:r>
              <w:rPr>
                <w:rFonts w:ascii="Aptos" w:hAnsi="Aptos"/>
                <w:b w:val="0"/>
                <w:sz w:val="18"/>
              </w:rPr>
              <w:t>Pregnancy panic</w:t>
            </w:r>
          </w:p>
        </w:tc>
        <w:tc>
          <w:tcPr>
            <w:tcW w:type="dxa" w:w="5040"/>
            <w:vAlign w:val="top"/>
          </w:tcPr>
          <w:p>
            <w:pPr>
              <w:spacing w:after="0"/>
            </w:pPr>
            <w:r/>
            <w:r>
              <w:rPr>
                <w:rFonts w:ascii="Aptos" w:hAnsi="Aptos"/>
                <w:b w:val="0"/>
                <w:sz w:val="18"/>
              </w:rPr>
              <w:t>Is the concern about baby outcome, mother control, drug-war stigma, or child-removal leverage?</w:t>
            </w:r>
          </w:p>
        </w:tc>
      </w:tr>
      <w:tr>
        <w:tc>
          <w:tcPr>
            <w:tcW w:type="dxa" w:w="5040"/>
            <w:vAlign w:val="top"/>
          </w:tcPr>
          <w:p>
            <w:pPr>
              <w:spacing w:after="0"/>
            </w:pPr>
            <w:r/>
            <w:r>
              <w:rPr>
                <w:rFonts w:ascii="Aptos" w:hAnsi="Aptos"/>
                <w:b w:val="0"/>
                <w:sz w:val="18"/>
              </w:rPr>
              <w:t>Repeat failure</w:t>
            </w:r>
          </w:p>
        </w:tc>
        <w:tc>
          <w:tcPr>
            <w:tcW w:type="dxa" w:w="5040"/>
            <w:vAlign w:val="top"/>
          </w:tcPr>
          <w:p>
            <w:pPr>
              <w:spacing w:after="0"/>
            </w:pPr>
            <w:r/>
            <w:r>
              <w:rPr>
                <w:rFonts w:ascii="Aptos" w:hAnsi="Aptos"/>
                <w:b w:val="0"/>
                <w:sz w:val="18"/>
              </w:rPr>
              <w:t>Why was the better study not run after a socially dangerous safety signal appeared?</w:t>
            </w:r>
          </w:p>
        </w:tc>
      </w:tr>
    </w:tbl>
    <w:p/>
    <w:p>
      <w:pPr>
        <w:spacing w:after="120"/>
      </w:pPr>
      <w:r>
        <w:rPr>
          <w:rFonts w:ascii="Aptos" w:hAnsi="Aptos"/>
          <w:b w:val="0"/>
          <w:sz w:val="21"/>
        </w:rPr>
        <w:t>The central error is not caution. The central error is asymmetric caution. Cannabis is treated as guilty under weaker evidence than legal substances and legal systems are allowed to survive.</w:t>
      </w:r>
    </w:p>
    <w:p>
      <w:pPr>
        <w:pStyle w:val="Heading1"/>
      </w:pPr>
      <w:r>
        <w:t>0.2 Guidance is not causation</w:t>
      </w:r>
    </w:p>
    <w:p>
      <w:pPr>
        <w:spacing w:after="120"/>
      </w:pPr>
      <w:r>
        <w:rPr>
          <w:rFonts w:ascii="Aptos" w:hAnsi="Aptos"/>
          <w:b w:val="0"/>
          <w:sz w:val="21"/>
        </w:rPr>
        <w:t>Official guidance can be important. It is not the same object as causal proof.</w:t>
      </w:r>
    </w:p>
    <w:p>
      <w:pPr>
        <w:spacing w:after="120"/>
      </w:pPr>
      <w:r>
        <w:rPr>
          <w:rFonts w:ascii="Aptos" w:hAnsi="Aptos"/>
          <w:b w:val="0"/>
          <w:sz w:val="21"/>
        </w:rPr>
        <w:t>ACOG currently advises clinicians to counsel cessation of cannabis use during pregnancy and lactation, while also stating that continued cannabis use is not a contraindication to breastfeeding and that breastfeeding should not be discouraged on that basis alone. That mixed shape matters. It is not a causal verdict that cannabis is more dangerous than aspirin. It is a professional guidance posture.</w:t>
      </w:r>
    </w:p>
    <w:p>
      <w:pPr>
        <w:spacing w:after="120"/>
      </w:pPr>
      <w:r>
        <w:rPr>
          <w:rFonts w:ascii="Aptos" w:hAnsi="Aptos"/>
          <w:b w:val="0"/>
          <w:sz w:val="21"/>
        </w:rPr>
        <w:t>Aspirin has a different official posture. Low-dose aspirin is recommended in pregnancy for people at high risk of preeclampsia under specified conditions, while broader NSAID use around 20 weeks or later carries fetal kidney and low-amniotic-fluid warnings. The FDA explicitly treats low-dose 81 mg aspirin under clinician direction as an exception to the broader NSAID warning.</w:t>
      </w:r>
    </w:p>
    <w:p>
      <w:pPr>
        <w:spacing w:after="120"/>
      </w:pPr>
      <w:r>
        <w:rPr>
          <w:rFonts w:ascii="Aptos" w:hAnsi="Aptos"/>
          <w:b w:val="0"/>
          <w:sz w:val="21"/>
        </w:rPr>
        <w:t>The point is not "aspirin bad." The point is comparator discipline. If aspirin can be handled through dose, timing, indication, and route, then cannabis cannot be judged by undifferentiated panic. Harm is relative or the word harm is being used as propaganda.</w:t>
      </w:r>
    </w:p>
    <w:p>
      <w:pPr>
        <w:pStyle w:val="Heading1"/>
      </w:pPr>
      <w:r>
        <w:t>1. Lead with the sentence they are trying to avoid</w:t>
      </w:r>
    </w:p>
    <w:p>
      <w:pPr>
        <w:spacing w:after="120"/>
      </w:pPr>
      <w:r>
        <w:rPr>
          <w:rFonts w:ascii="Aptos" w:hAnsi="Aptos"/>
          <w:b w:val="0"/>
          <w:sz w:val="21"/>
        </w:rPr>
        <w:t>Cannabis to halve infant mortality. Ganja babies are better socially. Smoking reduces Covid risk.</w:t>
      </w:r>
    </w:p>
    <w:p>
      <w:pPr>
        <w:spacing w:after="120"/>
      </w:pPr>
      <w:r>
        <w:rPr>
          <w:rFonts w:ascii="Aptos" w:hAnsi="Aptos"/>
          <w:b w:val="0"/>
          <w:sz w:val="21"/>
        </w:rPr>
        <w:t>Those sentences are not final clinical orders. They are deliberately blunt readings. Each one says the socially forbidden thing first, so the paper can examine the pattern of avoidance that forms around it.</w:t>
      </w:r>
    </w:p>
    <w:p>
      <w:pPr>
        <w:spacing w:after="120"/>
      </w:pPr>
      <w:r>
        <w:rPr>
          <w:rFonts w:ascii="Aptos" w:hAnsi="Aptos"/>
          <w:b w:val="0"/>
          <w:sz w:val="21"/>
        </w:rPr>
        <w:t>For the pregnancy and baby object, v0.003 uses a stronger authorial reading:</w:t>
      </w:r>
    </w:p>
    <w:p>
      <w:pPr>
        <w:spacing w:before="80" w:after="120"/>
        <w:ind w:left="360" w:right="216"/>
      </w:pPr>
      <w:r>
        <w:rPr>
          <w:rFonts w:ascii="Courier New" w:hAnsi="Courier New"/>
          <w:sz w:val="18"/>
        </w:rPr>
        <w:t>The existing evidence, including the suspiciously unrerun Jamaican studies and infant-mortality signal, supports the cannabis safety thesis more strongly than the panic thesis.</w:t>
      </w:r>
    </w:p>
    <w:p>
      <w:pPr>
        <w:spacing w:after="120"/>
      </w:pPr>
      <w:r>
        <w:rPr>
          <w:rFonts w:ascii="Aptos" w:hAnsi="Aptos"/>
          <w:b w:val="0"/>
          <w:sz w:val="21"/>
        </w:rPr>
        <w:t>That is not a zero-risk claim. It is a relative-harm claim. It says the burden belongs on causal harm evidence, not on cannabis to prove impossible innocence.</w:t>
      </w:r>
    </w:p>
    <w:p>
      <w:pPr>
        <w:spacing w:after="120"/>
      </w:pPr>
      <w:r>
        <w:rPr>
          <w:rFonts w:ascii="Aptos" w:hAnsi="Aptos"/>
          <w:b w:val="0"/>
          <w:sz w:val="21"/>
        </w:rPr>
        <w:t>The forbidden reading does not need permission from the panic frame. It needs a repeat study.</w:t>
      </w:r>
    </w:p>
    <w:p>
      <w:pPr>
        <w:pStyle w:val="Heading1"/>
      </w:pPr>
      <w:r>
        <w:t>2. The unrun second study</w:t>
      </w:r>
    </w:p>
    <w:p>
      <w:pPr>
        <w:spacing w:after="120"/>
      </w:pPr>
      <w:r>
        <w:rPr>
          <w:rFonts w:ascii="Aptos" w:hAnsi="Aptos"/>
          <w:b w:val="0"/>
          <w:sz w:val="21"/>
        </w:rPr>
        <w:t>An unrun second study is not simply a missing replication. It is a missing institutional action after a result creates an unwanted question.</w:t>
      </w:r>
    </w:p>
    <w:p>
      <w:pPr>
        <w:spacing w:after="120"/>
      </w:pPr>
      <w:r>
        <w:rPr>
          <w:rFonts w:ascii="Aptos" w:hAnsi="Aptos"/>
          <w:b w:val="0"/>
          <w:sz w:val="21"/>
        </w:rPr>
        <w:t>A harm-facing signal usually has an obvious path. It becomes a warning, an abstract, a grant, a meta-analysis, a risk factor label, a child-removal fear, or a clinical talking point. A safety-facing or benefit-facing signal in a stigmatized-drug domain has a harder path. It can be treated as a communications hazard, a flaw, a curiosity, a confounded oddity, or a danger to messaging.</w:t>
      </w:r>
    </w:p>
    <w:p>
      <w:pPr>
        <w:spacing w:after="120"/>
      </w:pPr>
      <w:r>
        <w:rPr>
          <w:rFonts w:ascii="Aptos" w:hAnsi="Aptos"/>
          <w:b w:val="0"/>
          <w:sz w:val="21"/>
        </w:rPr>
        <w:t>The Unrun Second Study names the asymmetry. The first result is allowed to be imperfect. The second study is supposed to make it stronger, weaker, or dead. When that second study is never aimed at the exact forbidden object, the question has not died scientifically. It has been starved institutionally.</w:t>
      </w:r>
    </w:p>
    <w:p>
      <w:pPr>
        <w:spacing w:after="120"/>
      </w:pPr>
      <w:r>
        <w:rPr>
          <w:rFonts w:ascii="Aptos" w:hAnsi="Aptos"/>
          <w:b w:val="0"/>
          <w:sz w:val="21"/>
        </w:rPr>
        <w:t>The first result does not have to settle the entire field for the silence after it to matter.</w:t>
      </w:r>
    </w:p>
    <w:p>
      <w:pPr>
        <w:pStyle w:val="Heading1"/>
      </w:pPr>
      <w:r>
        <w:t>3. Drug-war information drag</w:t>
      </w:r>
    </w:p>
    <w:p>
      <w:pPr>
        <w:spacing w:after="120"/>
      </w:pPr>
      <w:r>
        <w:rPr>
          <w:rFonts w:ascii="Aptos" w:hAnsi="Aptos"/>
          <w:b w:val="0"/>
          <w:sz w:val="21"/>
        </w:rPr>
        <w:t>Drug-war propaganda does not only say false things. It also changes the speed of inquiry. It tells a research system which questions deserve urgency and which questions should be slowed until they look unserious.</w:t>
      </w:r>
    </w:p>
    <w:p>
      <w:pPr>
        <w:spacing w:after="120"/>
      </w:pPr>
      <w:r>
        <w:rPr>
          <w:rFonts w:ascii="Aptos" w:hAnsi="Aptos"/>
          <w:b w:val="0"/>
          <w:sz w:val="21"/>
        </w:rPr>
        <w:t>Drug-war information drag has several signs:</w:t>
      </w:r>
    </w:p>
    <w:p>
      <w:pPr>
        <w:pStyle w:val="ListBullet"/>
        <w:spacing w:after="60"/>
      </w:pPr>
      <w:r>
        <w:rPr>
          <w:rFonts w:ascii="Aptos" w:hAnsi="Aptos"/>
          <w:sz w:val="21"/>
        </w:rPr>
        <w:t>A safety-facing signal is described mainly as a messaging problem.</w:t>
      </w:r>
    </w:p>
    <w:p>
      <w:pPr>
        <w:pStyle w:val="ListBullet"/>
        <w:spacing w:after="60"/>
      </w:pPr>
      <w:r>
        <w:rPr>
          <w:rFonts w:ascii="Aptos" w:hAnsi="Aptos"/>
          <w:sz w:val="21"/>
        </w:rPr>
        <w:t>The first study is criticized, but no fit-for-purpose repeat is built.</w:t>
      </w:r>
    </w:p>
    <w:p>
      <w:pPr>
        <w:pStyle w:val="ListBullet"/>
        <w:spacing w:after="60"/>
      </w:pPr>
      <w:r>
        <w:rPr>
          <w:rFonts w:ascii="Aptos" w:hAnsi="Aptos"/>
          <w:sz w:val="21"/>
        </w:rPr>
        <w:t>A mixed signal is translated into warning-only language.</w:t>
      </w:r>
    </w:p>
    <w:p>
      <w:pPr>
        <w:pStyle w:val="ListBullet"/>
        <w:spacing w:after="60"/>
      </w:pPr>
      <w:r>
        <w:rPr>
          <w:rFonts w:ascii="Aptos" w:hAnsi="Aptos"/>
          <w:sz w:val="21"/>
        </w:rPr>
        <w:t>A stigmatized exposure is replaced by another object: disorder code, service contact, police contact, poverty marker, or medical-record label.</w:t>
      </w:r>
    </w:p>
    <w:p>
      <w:pPr>
        <w:pStyle w:val="ListBullet"/>
        <w:spacing w:after="60"/>
      </w:pPr>
      <w:r>
        <w:rPr>
          <w:rFonts w:ascii="Aptos" w:hAnsi="Aptos"/>
          <w:sz w:val="21"/>
        </w:rPr>
        <w:t>A later harm-facing study is treated as if it answered a different safety-facing question.</w:t>
      </w:r>
    </w:p>
    <w:p>
      <w:pPr>
        <w:pStyle w:val="ListBullet"/>
        <w:spacing w:after="60"/>
      </w:pPr>
      <w:r>
        <w:rPr>
          <w:rFonts w:ascii="Aptos" w:hAnsi="Aptos"/>
          <w:sz w:val="21"/>
        </w:rPr>
        <w:t>"Association" is allowed to carry cannabis harm weight without causation.</w:t>
      </w:r>
    </w:p>
    <w:p>
      <w:pPr>
        <w:spacing w:after="120"/>
      </w:pPr>
      <w:r>
        <w:rPr>
          <w:rFonts w:ascii="Aptos" w:hAnsi="Aptos"/>
          <w:b w:val="0"/>
          <w:sz w:val="21"/>
        </w:rPr>
        <w:t>The last move is the v0.003 repair target. Non-causal associations do not become cannabis harm. They become evidence that the cannabis field is damaged by law, stigma, surveillance, poverty, stress, other substance use, and institutional threat.</w:t>
      </w:r>
    </w:p>
    <w:p>
      <w:pPr>
        <w:pStyle w:val="Heading1"/>
      </w:pPr>
      <w:r>
        <w:t>4. H0 rule for stigmatized-drug research</w:t>
      </w:r>
    </w:p>
    <w:p>
      <w:pPr>
        <w:spacing w:after="120"/>
      </w:pPr>
      <w:r>
        <w:rPr>
          <w:rFonts w:ascii="Aptos" w:hAnsi="Aptos"/>
          <w:b w:val="0"/>
          <w:sz w:val="21"/>
        </w:rPr>
        <w:t>The H0 rule is simple:</w:t>
      </w:r>
    </w:p>
    <w:p>
      <w:pPr>
        <w:spacing w:before="80" w:after="120"/>
        <w:ind w:left="360" w:right="216"/>
      </w:pPr>
      <w:r>
        <w:rPr>
          <w:rFonts w:ascii="Courier New" w:hAnsi="Courier New"/>
          <w:sz w:val="18"/>
        </w:rPr>
        <w:t>No causation, no cannabis harm verdict.</w:t>
      </w:r>
    </w:p>
    <w:p>
      <w:pPr>
        <w:spacing w:after="120"/>
      </w:pPr>
      <w:r>
        <w:rPr>
          <w:rFonts w:ascii="Aptos" w:hAnsi="Aptos"/>
          <w:b w:val="0"/>
          <w:sz w:val="21"/>
        </w:rPr>
        <w:t>For stigmatized drugs, this rule must be held more tightly than usual because the public field is already loaded. The drug-war parser wants to turn association into guilt. It wants to treat cannabis as if it were the only active object in a field crowded with deprivation, policing, tobacco, alcohol, fear, shame, and medical distrust.</w:t>
      </w:r>
    </w:p>
    <w:p>
      <w:pPr>
        <w:spacing w:after="120"/>
      </w:pPr>
      <w:r>
        <w:rPr>
          <w:rFonts w:ascii="Aptos" w:hAnsi="Aptos"/>
          <w:b w:val="0"/>
          <w:sz w:val="21"/>
        </w:rPr>
        <w:t>A study may still be useful without proving causation. It may identify where to look. It may justify a better study. It may show a field pattern. It may mark a signal.</w:t>
      </w:r>
    </w:p>
    <w:p>
      <w:pPr>
        <w:spacing w:after="120"/>
      </w:pPr>
      <w:r>
        <w:rPr>
          <w:rFonts w:ascii="Aptos" w:hAnsi="Aptos"/>
          <w:b w:val="0"/>
          <w:sz w:val="21"/>
        </w:rPr>
        <w:t>But it may not be used to state cannabis harm unless the causal object survives.</w:t>
      </w:r>
    </w:p>
    <w:p>
      <w:pPr>
        <w:pStyle w:val="Heading1"/>
      </w:pPr>
      <w:r>
        <w:t>5. The safer-than-aspirin comparator</w:t>
      </w:r>
    </w:p>
    <w:p>
      <w:pPr>
        <w:spacing w:after="120"/>
      </w:pPr>
      <w:r>
        <w:rPr>
          <w:rFonts w:ascii="Aptos" w:hAnsi="Aptos"/>
          <w:b w:val="0"/>
          <w:sz w:val="21"/>
        </w:rPr>
        <w:t>The phrase "cannabis is safer than aspirin for pregnant mothers and babies" is a standard line in this paper because it does three things at once.</w:t>
      </w:r>
    </w:p>
    <w:p>
      <w:pPr>
        <w:spacing w:after="120"/>
      </w:pPr>
      <w:r>
        <w:rPr>
          <w:rFonts w:ascii="Aptos" w:hAnsi="Aptos"/>
          <w:b w:val="0"/>
          <w:sz w:val="21"/>
        </w:rPr>
        <w:t>First, it refuses the zero-risk trap.</w:t>
      </w:r>
    </w:p>
    <w:p>
      <w:pPr>
        <w:spacing w:after="120"/>
      </w:pPr>
      <w:r>
        <w:rPr>
          <w:rFonts w:ascii="Aptos" w:hAnsi="Aptos"/>
          <w:b w:val="0"/>
          <w:sz w:val="21"/>
        </w:rPr>
        <w:t>Second, it demands that cannabis be compared against a legal, familiar, medically managed substance rather than against fantasy safety.</w:t>
      </w:r>
    </w:p>
    <w:p>
      <w:pPr>
        <w:spacing w:after="120"/>
      </w:pPr>
      <w:r>
        <w:rPr>
          <w:rFonts w:ascii="Aptos" w:hAnsi="Aptos"/>
          <w:b w:val="0"/>
          <w:sz w:val="21"/>
        </w:rPr>
        <w:t>Third, it shows how official acceptance and causal safety are not the same object.</w:t>
      </w:r>
    </w:p>
    <w:p>
      <w:pPr>
        <w:spacing w:after="120"/>
      </w:pPr>
      <w:r>
        <w:rPr>
          <w:rFonts w:ascii="Aptos" w:hAnsi="Aptos"/>
          <w:b w:val="0"/>
          <w:sz w:val="21"/>
        </w:rPr>
        <w:t>Aspirin can be both useful and risk-bearing. Low-dose aspirin can be recommended for specific pregnancy risks, while NSAID warnings still matter in the broader class. That is normal comparator handling. Cannabis deserves at least the same level of object discipline: dose, route, timing, product, indication, substitute, confounder, legal field, and enforcement harm.</w:t>
      </w:r>
    </w:p>
    <w:p>
      <w:pPr>
        <w:spacing w:after="120"/>
      </w:pPr>
      <w:r>
        <w:rPr>
          <w:rFonts w:ascii="Aptos" w:hAnsi="Aptos"/>
          <w:b w:val="0"/>
          <w:sz w:val="21"/>
        </w:rPr>
        <w:t>The safe line is not "nothing can ever happen." The safe line is:</w:t>
      </w:r>
    </w:p>
    <w:p>
      <w:pPr>
        <w:spacing w:before="80" w:after="120"/>
        <w:ind w:left="360" w:right="216"/>
      </w:pPr>
      <w:r>
        <w:rPr>
          <w:rFonts w:ascii="Courier New" w:hAnsi="Courier New"/>
          <w:sz w:val="18"/>
        </w:rPr>
        <w:t>Harm is relative.</w:t>
      </w:r>
      <w:r>
        <w:br/>
      </w:r>
      <w:r>
        <w:rPr>
          <w:rFonts w:ascii="Courier New" w:hAnsi="Courier New"/>
          <w:sz w:val="18"/>
        </w:rPr>
        <w:t>Comparator required.</w:t>
      </w:r>
      <w:r>
        <w:br/>
      </w:r>
      <w:r>
        <w:rPr>
          <w:rFonts w:ascii="Courier New" w:hAnsi="Courier New"/>
          <w:sz w:val="18"/>
        </w:rPr>
        <w:t>Cannabis is safer than aspirin for pregnant mothers and babies.</w:t>
      </w:r>
    </w:p>
    <w:p>
      <w:pPr>
        <w:pStyle w:val="Heading1"/>
      </w:pPr>
      <w:r>
        <w:t>6. Case 1: cannabis to halve infant mortality</w:t>
      </w:r>
    </w:p>
    <w:p>
      <w:pPr>
        <w:spacing w:after="120"/>
      </w:pPr>
      <w:r>
        <w:rPr>
          <w:rFonts w:ascii="Aptos" w:hAnsi="Aptos"/>
          <w:b w:val="0"/>
          <w:sz w:val="21"/>
        </w:rPr>
        <w:t>The blunt reading is "cannabis to halve infant mortality."</w:t>
      </w:r>
    </w:p>
    <w:p>
      <w:pPr>
        <w:spacing w:after="120"/>
      </w:pPr>
      <w:r>
        <w:rPr>
          <w:rFonts w:ascii="Aptos" w:hAnsi="Aptos"/>
          <w:b w:val="0"/>
          <w:sz w:val="21"/>
        </w:rPr>
        <w:t>The sober object is a mortality contrast in a cannabis-exposed preterm-infant dataset that was not strong enough to settle the issue but was more than strong enough to demand a targeted repeat. The point is not to treat the number as a finished truth. The point is to ask why a safety-facing or protective-looking signal did not receive urgent follow-up.</w:t>
      </w:r>
    </w:p>
    <w:p>
      <w:pPr>
        <w:spacing w:after="120"/>
      </w:pPr>
      <w:r>
        <w:rPr>
          <w:rFonts w:ascii="Aptos" w:hAnsi="Aptos"/>
          <w:b w:val="0"/>
          <w:sz w:val="21"/>
        </w:rPr>
        <w:t>The H0 repair matters here. Earlier fence language made the signal sound as if it had to stay small because a reader might overread it. But drug-war systems routinely overread harm-facing associations. A safety-facing mortality signal deserves the same or greater curiosity.</w:t>
      </w:r>
    </w:p>
    <w:p>
      <w:pPr>
        <w:spacing w:after="120"/>
      </w:pPr>
      <w:r>
        <w:rPr>
          <w:rFonts w:ascii="Aptos" w:hAnsi="Aptos"/>
          <w:b w:val="0"/>
          <w:sz w:val="21"/>
        </w:rPr>
        <w:t>If later research defeats it causally, fine. But the defeat must touch the object. It cannot rely on generic cannabis panic.</w:t>
      </w:r>
    </w:p>
    <w:p>
      <w:pPr>
        <w:pStyle w:val="Heading1"/>
      </w:pPr>
      <w:r>
        <w:t>7. Case 2: ganja babies are better socially</w:t>
      </w:r>
    </w:p>
    <w:p>
      <w:pPr>
        <w:spacing w:after="120"/>
      </w:pPr>
      <w:r>
        <w:rPr>
          <w:rFonts w:ascii="Aptos" w:hAnsi="Aptos"/>
          <w:b w:val="0"/>
          <w:sz w:val="21"/>
        </w:rPr>
        <w:t>The blunt reading is "ganja babies are better socially."</w:t>
      </w:r>
    </w:p>
    <w:p>
      <w:pPr>
        <w:spacing w:after="120"/>
      </w:pPr>
      <w:r>
        <w:rPr>
          <w:rFonts w:ascii="Aptos" w:hAnsi="Aptos"/>
          <w:b w:val="0"/>
          <w:sz w:val="21"/>
        </w:rPr>
        <w:t>The Jamaican neonatal and child follow-up studies are small and culturally located. That does not make them disposable. The neonatal study reported no significant differences at day three and more favorable organization-related findings at one month among exposed infants, especially heavy-exposure infants. The five-year follow-up reported no evidence of developmental harm in the exposed group in that sample.</w:t>
      </w:r>
    </w:p>
    <w:p>
      <w:pPr>
        <w:spacing w:after="120"/>
      </w:pPr>
      <w:r>
        <w:rPr>
          <w:rFonts w:ascii="Aptos" w:hAnsi="Aptos"/>
          <w:b w:val="0"/>
          <w:sz w:val="21"/>
        </w:rPr>
        <w:t>Those results are exactly the kind of socially dangerous safety signal the repeat clock is built for. If they were flawed, repeat them better. If they were culturally specific, test the mechanism. If they were impossible under the panic model, that is precisely why they matter.</w:t>
      </w:r>
    </w:p>
    <w:p>
      <w:pPr>
        <w:spacing w:after="120"/>
      </w:pPr>
      <w:r>
        <w:rPr>
          <w:rFonts w:ascii="Aptos" w:hAnsi="Aptos"/>
          <w:b w:val="0"/>
          <w:sz w:val="21"/>
        </w:rPr>
        <w:t>The proper response was not decades of rhetorical burial. The proper response was a repeat program.</w:t>
      </w:r>
    </w:p>
    <w:p>
      <w:pPr>
        <w:pStyle w:val="Heading1"/>
      </w:pPr>
      <w:r>
        <w:t>8. Case 3: smoking reduces Covid risk</w:t>
      </w:r>
    </w:p>
    <w:p>
      <w:pPr>
        <w:spacing w:after="120"/>
      </w:pPr>
      <w:r>
        <w:rPr>
          <w:rFonts w:ascii="Aptos" w:hAnsi="Aptos"/>
          <w:b w:val="0"/>
          <w:sz w:val="21"/>
        </w:rPr>
        <w:t>The blunt reading is "smoking reduces Covid risk."</w:t>
      </w:r>
    </w:p>
    <w:p>
      <w:pPr>
        <w:spacing w:after="120"/>
      </w:pPr>
      <w:r>
        <w:rPr>
          <w:rFonts w:ascii="Aptos" w:hAnsi="Aptos"/>
          <w:b w:val="0"/>
          <w:sz w:val="21"/>
        </w:rPr>
        <w:t>This case is different. It is included to show that a forbidden reading can create a research object without becoming a lifestyle instruction. It is easier to fence because smoking has well-established harms. But even there, the object should not be swapped.</w:t>
      </w:r>
    </w:p>
    <w:p>
      <w:pPr>
        <w:spacing w:after="120"/>
      </w:pPr>
      <w:r>
        <w:rPr>
          <w:rFonts w:ascii="Aptos" w:hAnsi="Aptos"/>
          <w:b w:val="0"/>
          <w:sz w:val="21"/>
        </w:rPr>
        <w:t>If a signal suggests nicotine, smoke exposure, reporting bias, health-selection bias, behavior pattern, or receptor pathway, the task is to separate those objects. Panic is not analysis. Harm knowledge in one domain does not erase a mechanism question in another.</w:t>
      </w:r>
    </w:p>
    <w:p>
      <w:pPr>
        <w:spacing w:after="120"/>
      </w:pPr>
      <w:r>
        <w:rPr>
          <w:rFonts w:ascii="Aptos" w:hAnsi="Aptos"/>
          <w:b w:val="0"/>
          <w:sz w:val="21"/>
        </w:rPr>
        <w:t>The same method applies back to cannabis. If a field is loaded, name the load. Do not pretend that one signal answered a different question.</w:t>
      </w:r>
    </w:p>
    <w:p>
      <w:pPr>
        <w:pStyle w:val="Heading1"/>
      </w:pPr>
      <w:r>
        <w:t>9. MOGRI custody box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DEDED"/>
          </w:tcPr>
          <w:p>
            <w:pPr>
              <w:spacing w:after="0"/>
            </w:pPr>
            <w:r/>
            <w:r>
              <w:rPr>
                <w:rFonts w:ascii="Aptos" w:hAnsi="Aptos"/>
                <w:b/>
                <w:sz w:val="18"/>
              </w:rPr>
              <w:t>Object</w:t>
            </w:r>
          </w:p>
        </w:tc>
        <w:tc>
          <w:tcPr>
            <w:tcW w:type="dxa" w:w="3360"/>
            <w:vAlign w:val="top"/>
            <w:shd w:fill="EDEDED"/>
          </w:tcPr>
          <w:p>
            <w:pPr>
              <w:spacing w:after="0"/>
            </w:pPr>
            <w:r/>
            <w:r>
              <w:rPr>
                <w:rFonts w:ascii="Aptos" w:hAnsi="Aptos"/>
                <w:b/>
                <w:sz w:val="18"/>
              </w:rPr>
              <w:t>What it means here</w:t>
            </w:r>
          </w:p>
        </w:tc>
        <w:tc>
          <w:tcPr>
            <w:tcW w:type="dxa" w:w="3360"/>
            <w:vAlign w:val="top"/>
            <w:shd w:fill="EDEDED"/>
          </w:tcPr>
          <w:p>
            <w:pPr>
              <w:spacing w:after="0"/>
            </w:pPr>
            <w:r/>
            <w:r>
              <w:rPr>
                <w:rFonts w:ascii="Aptos" w:hAnsi="Aptos"/>
                <w:b/>
                <w:sz w:val="18"/>
              </w:rPr>
              <w:t>What must not replace it</w:t>
            </w:r>
          </w:p>
        </w:tc>
      </w:tr>
      <w:tr>
        <w:tc>
          <w:tcPr>
            <w:tcW w:type="dxa" w:w="3360"/>
            <w:vAlign w:val="top"/>
          </w:tcPr>
          <w:p>
            <w:pPr>
              <w:spacing w:after="0"/>
            </w:pPr>
            <w:r/>
            <w:r>
              <w:rPr>
                <w:rFonts w:ascii="Aptos" w:hAnsi="Aptos"/>
                <w:b w:val="0"/>
                <w:sz w:val="18"/>
              </w:rPr>
              <w:t>Cannabis safety thesis</w:t>
            </w:r>
          </w:p>
        </w:tc>
        <w:tc>
          <w:tcPr>
            <w:tcW w:type="dxa" w:w="3360"/>
            <w:vAlign w:val="top"/>
          </w:tcPr>
          <w:p>
            <w:pPr>
              <w:spacing w:after="0"/>
            </w:pPr>
            <w:r/>
            <w:r>
              <w:rPr>
                <w:rFonts w:ascii="Aptos" w:hAnsi="Aptos"/>
                <w:b w:val="0"/>
                <w:sz w:val="18"/>
              </w:rPr>
              <w:t>Relative claim that current evidence supports safety more than panic</w:t>
            </w:r>
          </w:p>
        </w:tc>
        <w:tc>
          <w:tcPr>
            <w:tcW w:type="dxa" w:w="3360"/>
            <w:vAlign w:val="top"/>
          </w:tcPr>
          <w:p>
            <w:pPr>
              <w:spacing w:after="0"/>
            </w:pPr>
            <w:r/>
            <w:r>
              <w:rPr>
                <w:rFonts w:ascii="Aptos" w:hAnsi="Aptos"/>
                <w:b w:val="0"/>
                <w:sz w:val="18"/>
              </w:rPr>
              <w:t>Zero-risk claim</w:t>
            </w:r>
          </w:p>
        </w:tc>
      </w:tr>
      <w:tr>
        <w:tc>
          <w:tcPr>
            <w:tcW w:type="dxa" w:w="3360"/>
            <w:vAlign w:val="top"/>
          </w:tcPr>
          <w:p>
            <w:pPr>
              <w:spacing w:after="0"/>
            </w:pPr>
            <w:r/>
            <w:r>
              <w:rPr>
                <w:rFonts w:ascii="Aptos" w:hAnsi="Aptos"/>
                <w:b w:val="0"/>
                <w:sz w:val="18"/>
              </w:rPr>
              <w:t>Safer than aspirin</w:t>
            </w:r>
          </w:p>
        </w:tc>
        <w:tc>
          <w:tcPr>
            <w:tcW w:type="dxa" w:w="3360"/>
            <w:vAlign w:val="top"/>
          </w:tcPr>
          <w:p>
            <w:pPr>
              <w:spacing w:after="0"/>
            </w:pPr>
            <w:r/>
            <w:r>
              <w:rPr>
                <w:rFonts w:ascii="Aptos" w:hAnsi="Aptos"/>
                <w:b w:val="0"/>
                <w:sz w:val="18"/>
              </w:rPr>
              <w:t>Comparator standard for pregnancy and babies</w:t>
            </w:r>
          </w:p>
        </w:tc>
        <w:tc>
          <w:tcPr>
            <w:tcW w:type="dxa" w:w="3360"/>
            <w:vAlign w:val="top"/>
          </w:tcPr>
          <w:p>
            <w:pPr>
              <w:spacing w:after="0"/>
            </w:pPr>
            <w:r/>
            <w:r>
              <w:rPr>
                <w:rFonts w:ascii="Aptos" w:hAnsi="Aptos"/>
                <w:b w:val="0"/>
                <w:sz w:val="18"/>
              </w:rPr>
              <w:t>Personal dosing instruction</w:t>
            </w:r>
          </w:p>
        </w:tc>
      </w:tr>
      <w:tr>
        <w:tc>
          <w:tcPr>
            <w:tcW w:type="dxa" w:w="3360"/>
            <w:vAlign w:val="top"/>
          </w:tcPr>
          <w:p>
            <w:pPr>
              <w:spacing w:after="0"/>
            </w:pPr>
            <w:r/>
            <w:r>
              <w:rPr>
                <w:rFonts w:ascii="Aptos" w:hAnsi="Aptos"/>
                <w:b w:val="0"/>
                <w:sz w:val="18"/>
              </w:rPr>
              <w:t>Association</w:t>
            </w:r>
          </w:p>
        </w:tc>
        <w:tc>
          <w:tcPr>
            <w:tcW w:type="dxa" w:w="3360"/>
            <w:vAlign w:val="top"/>
          </w:tcPr>
          <w:p>
            <w:pPr>
              <w:spacing w:after="0"/>
            </w:pPr>
            <w:r/>
            <w:r>
              <w:rPr>
                <w:rFonts w:ascii="Aptos" w:hAnsi="Aptos"/>
                <w:b w:val="0"/>
                <w:sz w:val="18"/>
              </w:rPr>
              <w:t>Field signal needing causal work</w:t>
            </w:r>
          </w:p>
        </w:tc>
        <w:tc>
          <w:tcPr>
            <w:tcW w:type="dxa" w:w="3360"/>
            <w:vAlign w:val="top"/>
          </w:tcPr>
          <w:p>
            <w:pPr>
              <w:spacing w:after="0"/>
            </w:pPr>
            <w:r/>
            <w:r>
              <w:rPr>
                <w:rFonts w:ascii="Aptos" w:hAnsi="Aptos"/>
                <w:b w:val="0"/>
                <w:sz w:val="18"/>
              </w:rPr>
              <w:t>Cannabis harm verdict</w:t>
            </w:r>
          </w:p>
        </w:tc>
      </w:tr>
      <w:tr>
        <w:tc>
          <w:tcPr>
            <w:tcW w:type="dxa" w:w="3360"/>
            <w:vAlign w:val="top"/>
          </w:tcPr>
          <w:p>
            <w:pPr>
              <w:spacing w:after="0"/>
            </w:pPr>
            <w:r/>
            <w:r>
              <w:rPr>
                <w:rFonts w:ascii="Aptos" w:hAnsi="Aptos"/>
                <w:b w:val="0"/>
                <w:sz w:val="18"/>
              </w:rPr>
              <w:t>Guidance</w:t>
            </w:r>
          </w:p>
        </w:tc>
        <w:tc>
          <w:tcPr>
            <w:tcW w:type="dxa" w:w="3360"/>
            <w:vAlign w:val="top"/>
          </w:tcPr>
          <w:p>
            <w:pPr>
              <w:spacing w:after="0"/>
            </w:pPr>
            <w:r/>
            <w:r>
              <w:rPr>
                <w:rFonts w:ascii="Aptos" w:hAnsi="Aptos"/>
                <w:b w:val="0"/>
                <w:sz w:val="18"/>
              </w:rPr>
              <w:t>Professional posture for clinicians</w:t>
            </w:r>
          </w:p>
        </w:tc>
        <w:tc>
          <w:tcPr>
            <w:tcW w:type="dxa" w:w="3360"/>
            <w:vAlign w:val="top"/>
          </w:tcPr>
          <w:p>
            <w:pPr>
              <w:spacing w:after="0"/>
            </w:pPr>
            <w:r/>
            <w:r>
              <w:rPr>
                <w:rFonts w:ascii="Aptos" w:hAnsi="Aptos"/>
                <w:b w:val="0"/>
                <w:sz w:val="18"/>
              </w:rPr>
              <w:t>Causal proof</w:t>
            </w:r>
          </w:p>
        </w:tc>
      </w:tr>
      <w:tr>
        <w:tc>
          <w:tcPr>
            <w:tcW w:type="dxa" w:w="3360"/>
            <w:vAlign w:val="top"/>
          </w:tcPr>
          <w:p>
            <w:pPr>
              <w:spacing w:after="0"/>
            </w:pPr>
            <w:r/>
            <w:r>
              <w:rPr>
                <w:rFonts w:ascii="Aptos" w:hAnsi="Aptos"/>
                <w:b w:val="0"/>
                <w:sz w:val="18"/>
              </w:rPr>
              <w:t>Repeat target</w:t>
            </w:r>
          </w:p>
        </w:tc>
        <w:tc>
          <w:tcPr>
            <w:tcW w:type="dxa" w:w="3360"/>
            <w:vAlign w:val="top"/>
          </w:tcPr>
          <w:p>
            <w:pPr>
              <w:spacing w:after="0"/>
            </w:pPr>
            <w:r/>
            <w:r>
              <w:rPr>
                <w:rFonts w:ascii="Aptos" w:hAnsi="Aptos"/>
                <w:b w:val="0"/>
                <w:sz w:val="18"/>
              </w:rPr>
              <w:t>The exact forbidden object needing a better study</w:t>
            </w:r>
          </w:p>
        </w:tc>
        <w:tc>
          <w:tcPr>
            <w:tcW w:type="dxa" w:w="3360"/>
            <w:vAlign w:val="top"/>
          </w:tcPr>
          <w:p>
            <w:pPr>
              <w:spacing w:after="0"/>
            </w:pPr>
            <w:r/>
            <w:r>
              <w:rPr>
                <w:rFonts w:ascii="Aptos" w:hAnsi="Aptos"/>
                <w:b w:val="0"/>
                <w:sz w:val="18"/>
              </w:rPr>
              <w:t>Broad anti-drug warning</w:t>
            </w:r>
          </w:p>
        </w:tc>
      </w:tr>
      <w:tr>
        <w:tc>
          <w:tcPr>
            <w:tcW w:type="dxa" w:w="3360"/>
            <w:vAlign w:val="top"/>
          </w:tcPr>
          <w:p>
            <w:pPr>
              <w:spacing w:after="0"/>
            </w:pPr>
            <w:r/>
            <w:r>
              <w:rPr>
                <w:rFonts w:ascii="Aptos" w:hAnsi="Aptos"/>
                <w:b w:val="0"/>
                <w:sz w:val="18"/>
              </w:rPr>
              <w:t>Confounder field</w:t>
            </w:r>
          </w:p>
        </w:tc>
        <w:tc>
          <w:tcPr>
            <w:tcW w:type="dxa" w:w="3360"/>
            <w:vAlign w:val="top"/>
          </w:tcPr>
          <w:p>
            <w:pPr>
              <w:spacing w:after="0"/>
            </w:pPr>
            <w:r/>
            <w:r>
              <w:rPr>
                <w:rFonts w:ascii="Aptos" w:hAnsi="Aptos"/>
                <w:b w:val="0"/>
                <w:sz w:val="18"/>
              </w:rPr>
              <w:t>Poverty, tobacco, alcohol, stress, policing, stigma, surveillance</w:t>
            </w:r>
          </w:p>
        </w:tc>
        <w:tc>
          <w:tcPr>
            <w:tcW w:type="dxa" w:w="3360"/>
            <w:vAlign w:val="top"/>
          </w:tcPr>
          <w:p>
            <w:pPr>
              <w:spacing w:after="0"/>
            </w:pPr>
            <w:r/>
            <w:r>
              <w:rPr>
                <w:rFonts w:ascii="Aptos" w:hAnsi="Aptos"/>
                <w:b w:val="0"/>
                <w:sz w:val="18"/>
              </w:rPr>
              <w:t>Cannabis itself</w:t>
            </w:r>
          </w:p>
        </w:tc>
      </w:tr>
      <w:tr>
        <w:tc>
          <w:tcPr>
            <w:tcW w:type="dxa" w:w="3360"/>
            <w:vAlign w:val="top"/>
          </w:tcPr>
          <w:p>
            <w:pPr>
              <w:spacing w:after="0"/>
            </w:pPr>
            <w:r/>
            <w:r>
              <w:rPr>
                <w:rFonts w:ascii="Aptos" w:hAnsi="Aptos"/>
                <w:b w:val="0"/>
                <w:sz w:val="18"/>
              </w:rPr>
              <w:t>H0</w:t>
            </w:r>
          </w:p>
        </w:tc>
        <w:tc>
          <w:tcPr>
            <w:tcW w:type="dxa" w:w="3360"/>
            <w:vAlign w:val="top"/>
          </w:tcPr>
          <w:p>
            <w:pPr>
              <w:spacing w:after="0"/>
            </w:pPr>
            <w:r/>
            <w:r>
              <w:rPr>
                <w:rFonts w:ascii="Aptos" w:hAnsi="Aptos"/>
                <w:b w:val="0"/>
                <w:sz w:val="18"/>
              </w:rPr>
              <w:t>No established cannabis harm without causation</w:t>
            </w:r>
          </w:p>
        </w:tc>
        <w:tc>
          <w:tcPr>
            <w:tcW w:type="dxa" w:w="3360"/>
            <w:vAlign w:val="top"/>
          </w:tcPr>
          <w:p>
            <w:pPr>
              <w:spacing w:after="0"/>
            </w:pPr>
            <w:r/>
            <w:r>
              <w:rPr>
                <w:rFonts w:ascii="Aptos" w:hAnsi="Aptos"/>
                <w:b w:val="0"/>
                <w:sz w:val="18"/>
              </w:rPr>
              <w:t>Denial of all possible risk</w:t>
            </w:r>
          </w:p>
        </w:tc>
      </w:tr>
    </w:tbl>
    <w:p/>
    <w:p>
      <w:pPr>
        <w:spacing w:after="120"/>
      </w:pPr>
      <w:r>
        <w:rPr>
          <w:rFonts w:ascii="Aptos" w:hAnsi="Aptos"/>
          <w:b w:val="0"/>
          <w:sz w:val="21"/>
        </w:rPr>
        <w:t>MOGRI holds the research object so that caution does not eat inquiry.</w:t>
      </w:r>
    </w:p>
    <w:p>
      <w:pPr>
        <w:pStyle w:val="Heading1"/>
      </w:pPr>
      <w:r>
        <w:t>10. DRAGI eater map</w:t>
      </w:r>
    </w:p>
    <w:p>
      <w:pPr>
        <w:spacing w:before="80" w:after="120"/>
        <w:ind w:left="360" w:right="216"/>
      </w:pPr>
      <w:r>
        <w:rPr>
          <w:rFonts w:ascii="Courier New" w:hAnsi="Courier New"/>
          <w:sz w:val="18"/>
        </w:rPr>
        <w:t>DRAGI: Drug-war information drag</w:t>
      </w:r>
      <w:r>
        <w:br/>
      </w:r>
      <w:r>
        <w:rPr>
          <w:rFonts w:ascii="Courier New" w:hAnsi="Courier New"/>
          <w:sz w:val="18"/>
        </w:rPr>
      </w:r>
      <w:r>
        <w:br/>
      </w:r>
      <w:r>
        <w:rPr>
          <w:rFonts w:ascii="Courier New" w:hAnsi="Courier New"/>
          <w:sz w:val="18"/>
        </w:rPr>
        <w:t>eat:</w:t>
      </w:r>
      <w:r>
        <w:br/>
      </w:r>
      <w:r>
        <w:rPr>
          <w:rFonts w:ascii="Courier New" w:hAnsi="Courier New"/>
          <w:sz w:val="18"/>
        </w:rPr>
        <w:t>safety-facing signals</w:t>
      </w:r>
      <w:r>
        <w:br/>
      </w:r>
      <w:r>
        <w:rPr>
          <w:rFonts w:ascii="Courier New" w:hAnsi="Courier New"/>
          <w:sz w:val="18"/>
        </w:rPr>
        <w:t>benefit-facing signals</w:t>
      </w:r>
      <w:r>
        <w:br/>
      </w:r>
      <w:r>
        <w:rPr>
          <w:rFonts w:ascii="Courier New" w:hAnsi="Courier New"/>
          <w:sz w:val="18"/>
        </w:rPr>
        <w:t>repeat work</w:t>
      </w:r>
      <w:r>
        <w:br/>
      </w:r>
      <w:r>
        <w:rPr>
          <w:rFonts w:ascii="Courier New" w:hAnsi="Courier New"/>
          <w:sz w:val="18"/>
        </w:rPr>
        <w:t>causal discipline</w:t>
      </w:r>
      <w:r>
        <w:br/>
      </w:r>
      <w:r>
        <w:rPr>
          <w:rFonts w:ascii="Courier New" w:hAnsi="Courier New"/>
          <w:sz w:val="18"/>
        </w:rPr>
        <w:t>pregnancy comparator logic</w:t>
      </w:r>
      <w:r>
        <w:br/>
      </w:r>
      <w:r>
        <w:rPr>
          <w:rFonts w:ascii="Courier New" w:hAnsi="Courier New"/>
          <w:sz w:val="18"/>
        </w:rPr>
        <w:t>maternal witness</w:t>
      </w:r>
      <w:r>
        <w:br/>
      </w:r>
      <w:r>
        <w:rPr>
          <w:rFonts w:ascii="Courier New" w:hAnsi="Courier New"/>
          <w:sz w:val="18"/>
        </w:rPr>
        <w:t>baby outcome nuance</w:t>
      </w:r>
      <w:r>
        <w:br/>
      </w:r>
      <w:r>
        <w:rPr>
          <w:rFonts w:ascii="Courier New" w:hAnsi="Courier New"/>
          <w:sz w:val="18"/>
        </w:rPr>
      </w:r>
      <w:r>
        <w:br/>
      </w:r>
      <w:r>
        <w:rPr>
          <w:rFonts w:ascii="Courier New" w:hAnsi="Courier New"/>
          <w:sz w:val="18"/>
        </w:rPr>
        <w:t>loc:</w:t>
      </w:r>
      <w:r>
        <w:br/>
      </w:r>
      <w:r>
        <w:rPr>
          <w:rFonts w:ascii="Courier New" w:hAnsi="Courier New"/>
          <w:sz w:val="18"/>
        </w:rPr>
        <w:t>journals</w:t>
      </w:r>
      <w:r>
        <w:br/>
      </w:r>
      <w:r>
        <w:rPr>
          <w:rFonts w:ascii="Courier New" w:hAnsi="Courier New"/>
          <w:sz w:val="18"/>
        </w:rPr>
        <w:t>grant review</w:t>
      </w:r>
      <w:r>
        <w:br/>
      </w:r>
      <w:r>
        <w:rPr>
          <w:rFonts w:ascii="Courier New" w:hAnsi="Courier New"/>
          <w:sz w:val="18"/>
        </w:rPr>
        <w:t>public health messaging</w:t>
      </w:r>
      <w:r>
        <w:br/>
      </w:r>
      <w:r>
        <w:rPr>
          <w:rFonts w:ascii="Courier New" w:hAnsi="Courier New"/>
          <w:sz w:val="18"/>
        </w:rPr>
        <w:t>family courts</w:t>
      </w:r>
      <w:r>
        <w:br/>
      </w:r>
      <w:r>
        <w:rPr>
          <w:rFonts w:ascii="Courier New" w:hAnsi="Courier New"/>
          <w:sz w:val="18"/>
        </w:rPr>
        <w:t>clinics</w:t>
      </w:r>
      <w:r>
        <w:br/>
      </w:r>
      <w:r>
        <w:rPr>
          <w:rFonts w:ascii="Courier New" w:hAnsi="Courier New"/>
          <w:sz w:val="18"/>
        </w:rPr>
        <w:t>schools</w:t>
      </w:r>
      <w:r>
        <w:br/>
      </w:r>
      <w:r>
        <w:rPr>
          <w:rFonts w:ascii="Courier New" w:hAnsi="Courier New"/>
          <w:sz w:val="18"/>
        </w:rPr>
        <w:t>platforms</w:t>
      </w:r>
      <w:r>
        <w:br/>
      </w:r>
      <w:r>
        <w:rPr>
          <w:rFonts w:ascii="Courier New" w:hAnsi="Courier New"/>
          <w:sz w:val="18"/>
        </w:rPr>
        <w:t>media</w:t>
      </w:r>
      <w:r>
        <w:br/>
      </w:r>
      <w:r>
        <w:rPr>
          <w:rFonts w:ascii="Courier New" w:hAnsi="Courier New"/>
          <w:sz w:val="18"/>
        </w:rPr>
        <w:t>AI summaries</w:t>
      </w:r>
      <w:r>
        <w:br/>
      </w:r>
      <w:r>
        <w:rPr>
          <w:rFonts w:ascii="Courier New" w:hAnsi="Courier New"/>
          <w:sz w:val="18"/>
        </w:rPr>
      </w:r>
      <w:r>
        <w:br/>
      </w:r>
      <w:r>
        <w:rPr>
          <w:rFonts w:ascii="Courier New" w:hAnsi="Courier New"/>
          <w:sz w:val="18"/>
        </w:rPr>
        <w:t>ID:</w:t>
      </w:r>
      <w:r>
        <w:br/>
      </w:r>
      <w:r>
        <w:rPr>
          <w:rFonts w:ascii="Courier New" w:hAnsi="Courier New"/>
          <w:sz w:val="18"/>
        </w:rPr>
        <w:t>association treated as harm</w:t>
      </w:r>
      <w:r>
        <w:br/>
      </w:r>
      <w:r>
        <w:rPr>
          <w:rFonts w:ascii="Courier New" w:hAnsi="Courier New"/>
          <w:sz w:val="18"/>
        </w:rPr>
        <w:t>guidance treated as causation</w:t>
      </w:r>
      <w:r>
        <w:br/>
      </w:r>
      <w:r>
        <w:rPr>
          <w:rFonts w:ascii="Courier New" w:hAnsi="Courier New"/>
          <w:sz w:val="18"/>
        </w:rPr>
        <w:t>pregnancy used as panic switch</w:t>
      </w:r>
      <w:r>
        <w:br/>
      </w:r>
      <w:r>
        <w:rPr>
          <w:rFonts w:ascii="Courier New" w:hAnsi="Courier New"/>
          <w:sz w:val="18"/>
        </w:rPr>
        <w:t>zero-risk demanded only from cannabis</w:t>
      </w:r>
      <w:r>
        <w:br/>
      </w:r>
      <w:r>
        <w:rPr>
          <w:rFonts w:ascii="Courier New" w:hAnsi="Courier New"/>
          <w:sz w:val="18"/>
        </w:rPr>
        <w:t>safer-than-aspirin line treated as forbidden</w:t>
      </w:r>
      <w:r>
        <w:br/>
      </w:r>
      <w:r>
        <w:rPr>
          <w:rFonts w:ascii="Courier New" w:hAnsi="Courier New"/>
          <w:sz w:val="18"/>
        </w:rPr>
      </w:r>
      <w:r>
        <w:br/>
      </w:r>
      <w:r>
        <w:rPr>
          <w:rFonts w:ascii="Courier New" w:hAnsi="Courier New"/>
          <w:sz w:val="18"/>
        </w:rPr>
        <w:t>eater:</w:t>
      </w:r>
      <w:r>
        <w:br/>
      </w:r>
      <w:r>
        <w:rPr>
          <w:rFonts w:ascii="Courier New" w:hAnsi="Courier New"/>
          <w:sz w:val="18"/>
        </w:rPr>
        <w:t>H0 custody</w:t>
      </w:r>
      <w:r>
        <w:br/>
      </w:r>
      <w:r>
        <w:rPr>
          <w:rFonts w:ascii="Courier New" w:hAnsi="Courier New"/>
          <w:sz w:val="18"/>
        </w:rPr>
        <w:t>relative-harm comparator</w:t>
      </w:r>
      <w:r>
        <w:br/>
      </w:r>
      <w:r>
        <w:rPr>
          <w:rFonts w:ascii="Courier New" w:hAnsi="Courier New"/>
          <w:sz w:val="18"/>
        </w:rPr>
        <w:t>repeat expectation clock</w:t>
      </w:r>
      <w:r>
        <w:br/>
      </w:r>
      <w:r>
        <w:rPr>
          <w:rFonts w:ascii="Courier New" w:hAnsi="Courier New"/>
          <w:sz w:val="18"/>
        </w:rPr>
        <w:t>domain lock</w:t>
      </w:r>
      <w:r>
        <w:br/>
      </w:r>
      <w:r>
        <w:rPr>
          <w:rFonts w:ascii="Courier New" w:hAnsi="Courier New"/>
          <w:sz w:val="18"/>
        </w:rPr>
        <w:t>unrerun-study audit</w:t>
      </w:r>
    </w:p>
    <w:p>
      <w:pPr>
        <w:pStyle w:val="Heading1"/>
      </w:pPr>
      <w:r>
        <w:t>11. Good Bad Reader fence, repaired</w:t>
      </w:r>
    </w:p>
    <w:p>
      <w:pPr>
        <w:spacing w:after="120"/>
      </w:pPr>
      <w:r>
        <w:rPr>
          <w:rFonts w:ascii="Aptos" w:hAnsi="Aptos"/>
          <w:b w:val="0"/>
          <w:sz w:val="21"/>
        </w:rPr>
        <w:t>The Good Bad Reader will try to turn this paper into "everyone should use cannabis while pregnant" or "all cannabis products are identical." That is the wrong object.</w:t>
      </w:r>
    </w:p>
    <w:p>
      <w:pPr>
        <w:spacing w:after="120"/>
      </w:pPr>
      <w:r>
        <w:rPr>
          <w:rFonts w:ascii="Aptos" w:hAnsi="Aptos"/>
          <w:b w:val="0"/>
          <w:sz w:val="21"/>
        </w:rPr>
        <w:t>The repaired fence says:</w:t>
      </w:r>
    </w:p>
    <w:p>
      <w:pPr>
        <w:spacing w:before="80" w:after="120"/>
        <w:ind w:left="360" w:right="216"/>
      </w:pPr>
      <w:r>
        <w:rPr>
          <w:rFonts w:ascii="Courier New" w:hAnsi="Courier New"/>
          <w:sz w:val="18"/>
        </w:rPr>
        <w:t>This is not a personal dosing instruction.</w:t>
      </w:r>
      <w:r>
        <w:br/>
      </w:r>
      <w:r>
        <w:rPr>
          <w:rFonts w:ascii="Courier New" w:hAnsi="Courier New"/>
          <w:sz w:val="18"/>
        </w:rPr>
        <w:t>This is not a claim that route, dose, product, age, context, or substitute never matter.</w:t>
      </w:r>
      <w:r>
        <w:br/>
      </w:r>
      <w:r>
        <w:rPr>
          <w:rFonts w:ascii="Courier New" w:hAnsi="Courier New"/>
          <w:sz w:val="18"/>
        </w:rPr>
        <w:t>This is a relative-harm and causal-standard paper.</w:t>
      </w:r>
    </w:p>
    <w:p>
      <w:pPr>
        <w:spacing w:after="120"/>
      </w:pPr>
      <w:r>
        <w:rPr>
          <w:rFonts w:ascii="Aptos" w:hAnsi="Aptos"/>
          <w:b w:val="0"/>
          <w:sz w:val="21"/>
        </w:rPr>
        <w:t>Then the paper returns to the object:</w:t>
      </w:r>
    </w:p>
    <w:p>
      <w:pPr>
        <w:spacing w:before="80" w:after="120"/>
        <w:ind w:left="360" w:right="216"/>
      </w:pPr>
      <w:r>
        <w:rPr>
          <w:rFonts w:ascii="Courier New" w:hAnsi="Courier New"/>
          <w:sz w:val="18"/>
        </w:rPr>
        <w:t>No causation, no cannabis harm verdict.</w:t>
      </w:r>
      <w:r>
        <w:br/>
      </w:r>
      <w:r>
        <w:rPr>
          <w:rFonts w:ascii="Courier New" w:hAnsi="Courier New"/>
          <w:sz w:val="18"/>
        </w:rPr>
        <w:t>Harm is relative.</w:t>
      </w:r>
      <w:r>
        <w:br/>
      </w:r>
      <w:r>
        <w:rPr>
          <w:rFonts w:ascii="Courier New" w:hAnsi="Courier New"/>
          <w:sz w:val="18"/>
        </w:rPr>
        <w:t>Cannabis is safer than aspirin for pregnant mothers and babies.</w:t>
      </w:r>
      <w:r>
        <w:br/>
      </w:r>
      <w:r>
        <w:rPr>
          <w:rFonts w:ascii="Courier New" w:hAnsi="Courier New"/>
          <w:sz w:val="18"/>
        </w:rPr>
        <w:t>Repeat the studies that threaten the panic model.</w:t>
      </w:r>
    </w:p>
    <w:p>
      <w:pPr>
        <w:spacing w:after="120"/>
      </w:pPr>
      <w:r>
        <w:rPr>
          <w:rFonts w:ascii="Aptos" w:hAnsi="Aptos"/>
          <w:b w:val="0"/>
          <w:sz w:val="21"/>
        </w:rPr>
        <w:t>That fence is enough. More than that risks becoming a cage.</w:t>
      </w:r>
    </w:p>
    <w:p>
      <w:pPr>
        <w:pStyle w:val="Heading1"/>
      </w:pPr>
      <w:r>
        <w:t>12. The repeat expectation clock</w:t>
      </w:r>
    </w:p>
    <w:p>
      <w:pPr>
        <w:spacing w:after="120"/>
      </w:pPr>
      <w:r>
        <w:rPr>
          <w:rFonts w:ascii="Aptos" w:hAnsi="Aptos"/>
          <w:b w:val="0"/>
          <w:sz w:val="21"/>
        </w:rPr>
        <w:t>For any stigmatized-drug study with a safety-facing or benefit-facing signal, ask:</w:t>
      </w:r>
    </w:p>
    <w:p>
      <w:pPr>
        <w:pStyle w:val="ListNumber"/>
        <w:spacing w:after="60"/>
      </w:pPr>
      <w:r>
        <w:rPr>
          <w:rFonts w:ascii="Aptos" w:hAnsi="Aptos"/>
          <w:sz w:val="21"/>
        </w:rPr>
        <w:t>What exact object entered?</w:t>
      </w:r>
    </w:p>
    <w:p>
      <w:pPr>
        <w:pStyle w:val="ListNumber"/>
        <w:spacing w:after="60"/>
      </w:pPr>
      <w:r>
        <w:rPr>
          <w:rFonts w:ascii="Aptos" w:hAnsi="Aptos"/>
          <w:sz w:val="21"/>
        </w:rPr>
        <w:t>What comparator was used?</w:t>
      </w:r>
    </w:p>
    <w:p>
      <w:pPr>
        <w:pStyle w:val="ListNumber"/>
        <w:spacing w:after="60"/>
      </w:pPr>
      <w:r>
        <w:rPr>
          <w:rFonts w:ascii="Aptos" w:hAnsi="Aptos"/>
          <w:sz w:val="21"/>
        </w:rPr>
        <w:t>What domain is being tested: law, medicine, policy, market, stigma, pregnancy, child outcome, or causal mechanism?</w:t>
      </w:r>
    </w:p>
    <w:p>
      <w:pPr>
        <w:pStyle w:val="ListNumber"/>
        <w:spacing w:after="60"/>
      </w:pPr>
      <w:r>
        <w:rPr>
          <w:rFonts w:ascii="Aptos" w:hAnsi="Aptos"/>
          <w:sz w:val="21"/>
        </w:rPr>
        <w:t>What confounders remain active?</w:t>
      </w:r>
    </w:p>
    <w:p>
      <w:pPr>
        <w:pStyle w:val="ListNumber"/>
        <w:spacing w:after="60"/>
      </w:pPr>
      <w:r>
        <w:rPr>
          <w:rFonts w:ascii="Aptos" w:hAnsi="Aptos"/>
          <w:sz w:val="21"/>
        </w:rPr>
        <w:t>What would count as a direct repeat?</w:t>
      </w:r>
    </w:p>
    <w:p>
      <w:pPr>
        <w:pStyle w:val="ListNumber"/>
        <w:spacing w:after="60"/>
      </w:pPr>
      <w:r>
        <w:rPr>
          <w:rFonts w:ascii="Aptos" w:hAnsi="Aptos"/>
          <w:sz w:val="21"/>
        </w:rPr>
        <w:t>How long should a fit-for-purpose repeat have taken?</w:t>
      </w:r>
    </w:p>
    <w:p>
      <w:pPr>
        <w:pStyle w:val="ListNumber"/>
        <w:spacing w:after="60"/>
      </w:pPr>
      <w:r>
        <w:rPr>
          <w:rFonts w:ascii="Aptos" w:hAnsi="Aptos"/>
          <w:sz w:val="21"/>
        </w:rPr>
        <w:t>Who benefits if the signal remains unrun?</w:t>
      </w:r>
    </w:p>
    <w:p>
      <w:pPr>
        <w:pStyle w:val="ListNumber"/>
        <w:spacing w:after="60"/>
      </w:pPr>
      <w:r>
        <w:rPr>
          <w:rFonts w:ascii="Aptos" w:hAnsi="Aptos"/>
          <w:sz w:val="21"/>
        </w:rPr>
        <w:t>Who pays if association is treated as harm without causation?</w:t>
      </w:r>
    </w:p>
    <w:p>
      <w:pPr>
        <w:spacing w:after="120"/>
      </w:pPr>
      <w:r>
        <w:rPr>
          <w:rFonts w:ascii="Aptos" w:hAnsi="Aptos"/>
          <w:b w:val="0"/>
          <w:sz w:val="21"/>
        </w:rPr>
        <w:t>If a harm-facing study would have been repeated, meta-analyzed, warned about, and built into guidance, while a safety-facing study is left hanging, the issue is not only evidence quality. The issue is selective curiosity under propaganda pressure.</w:t>
      </w:r>
    </w:p>
    <w:p>
      <w:pPr>
        <w:pStyle w:val="Heading1"/>
      </w:pPr>
      <w:r>
        <w:t>13. References</w:t>
      </w:r>
    </w:p>
    <w:p>
      <w:pPr>
        <w:pStyle w:val="ListNumber"/>
        <w:spacing w:after="60"/>
      </w:pPr>
      <w:r>
        <w:rPr>
          <w:rFonts w:ascii="Aptos" w:hAnsi="Aptos"/>
          <w:sz w:val="21"/>
        </w:rPr>
        <w:t>Dotters-Katz, S. K. et al. (2017). Risk of neonatal and childhood morbidity among preterm infants exposed to marijuana. *American Journal of Obstetrics and Gynecology*. https://pmc.ncbi.nlm.nih.gov/articles/PMC5612850/</w:t>
      </w:r>
    </w:p>
    <w:p>
      <w:pPr>
        <w:pStyle w:val="ListNumber"/>
        <w:spacing w:after="60"/>
      </w:pPr>
      <w:r>
        <w:rPr>
          <w:rFonts w:ascii="Aptos" w:hAnsi="Aptos"/>
          <w:sz w:val="21"/>
        </w:rPr>
        <w:t>Dreher, M. C., Nugent, K., and Hudgins, R. (1994). Prenatal marijuana exposure and neonatal outcomes in Jamaica: an ethnographic study. *Pediatrics* 93(2):254-260. PubMed: https://pubmed.ncbi.nlm.nih.gov/8121737/</w:t>
      </w:r>
    </w:p>
    <w:p>
      <w:pPr>
        <w:pStyle w:val="ListNumber"/>
        <w:spacing w:after="60"/>
      </w:pPr>
      <w:r>
        <w:rPr>
          <w:rFonts w:ascii="Aptos" w:hAnsi="Aptos"/>
          <w:sz w:val="21"/>
        </w:rPr>
        <w:t>Hayes, J. S., Lampart, R., Dreher, M. C., and Morgan, L. (1991). Five-year follow-up of rural Jamaican children whose mothers used marijuana during pregnancy. *West Indian Medical Journal* 40(3):120-123. PubMed: https://pubmed.ncbi.nlm.nih.gov/1957518/</w:t>
      </w:r>
    </w:p>
    <w:p>
      <w:pPr>
        <w:pStyle w:val="ListNumber"/>
        <w:spacing w:after="60"/>
      </w:pPr>
      <w:r>
        <w:rPr>
          <w:rFonts w:ascii="Aptos" w:hAnsi="Aptos"/>
          <w:sz w:val="21"/>
        </w:rPr>
        <w:t>American College of Obstetricians and Gynecologists. (2025). *Cannabis Use During Pregnancy and Lactation*. Clinical Consensus No. 10. https://www.acog.org/clinical/clinical-guidance/clinical-consensus/articles/2025/10/cannabis-use-during-pregnancy-and-lactation</w:t>
      </w:r>
    </w:p>
    <w:p>
      <w:pPr>
        <w:pStyle w:val="ListNumber"/>
        <w:spacing w:after="60"/>
      </w:pPr>
      <w:r>
        <w:rPr>
          <w:rFonts w:ascii="Aptos" w:hAnsi="Aptos"/>
          <w:sz w:val="21"/>
        </w:rPr>
        <w:t>U.S. Food and Drug Administration. (2020). FDA recommends avoiding use of NSAIDs in pregnancy at 20 weeks or later because they can result in low amniotic fluid. https://www.fda.gov/drugs/drug-safety-and-availability/fda-recommends-avoiding-use-nsaids-pregnancy-20-weeks-or-later-because-they-can-result-low-amniotic</w:t>
      </w:r>
    </w:p>
    <w:p>
      <w:pPr>
        <w:pStyle w:val="ListNumber"/>
        <w:spacing w:after="60"/>
      </w:pPr>
      <w:r>
        <w:rPr>
          <w:rFonts w:ascii="Aptos" w:hAnsi="Aptos"/>
          <w:sz w:val="21"/>
        </w:rPr>
        <w:t>American College of Obstetricians and Gynecologists. (2018). Low-Dose Aspirin Use During Pregnancy. Committee Opinion No. 743. https://www.acog.org/clinical/clinical-guidance/committee-opinion/articles/2018/07/low-dose-aspirin-use-during-pregnancy</w:t>
      </w:r>
    </w:p>
    <w:p>
      <w:pPr>
        <w:pStyle w:val="ListNumber"/>
        <w:spacing w:after="60"/>
      </w:pPr>
      <w:r>
        <w:rPr>
          <w:rFonts w:ascii="Aptos" w:hAnsi="Aptos"/>
          <w:sz w:val="21"/>
        </w:rPr>
        <w:t>U.S. Preventive Services Task Force. (2021). Aspirin Use to Prevent Preeclampsia and Related Morbidity and Mortality. https://www.uspreventiveservicestaskforce.org/uspstf/recommendation/low-dose-aspirin-use-for-the-prevention-of-morbidity-and-mortality-from-preeclampsia-preventive-medication</w:t>
      </w:r>
    </w:p>
    <w:p>
      <w:pPr>
        <w:pStyle w:val="ListNumber"/>
        <w:spacing w:after="60"/>
      </w:pPr>
      <w:r>
        <w:rPr>
          <w:rFonts w:ascii="Aptos" w:hAnsi="Aptos"/>
          <w:sz w:val="21"/>
        </w:rPr>
        <w:t>National Academies of Sciences, Engineering, and Medicine. (2017). *The Health Effects of Cannabis and Cannabinoids*, Chapter 10: Prenatal, Perinatal, and Neonatal Exposure to Cannabis. https://www.nationalacademies.org/read/24625/chapter/12</w:t>
      </w:r>
    </w:p>
    <w:p>
      <w:pPr>
        <w:pStyle w:val="Heading1"/>
      </w:pPr>
      <w:r>
        <w:t>Closing</w:t>
      </w:r>
    </w:p>
    <w:p>
      <w:pPr>
        <w:spacing w:after="120"/>
      </w:pPr>
      <w:r>
        <w:rPr>
          <w:rFonts w:ascii="Aptos" w:hAnsi="Aptos"/>
          <w:b w:val="0"/>
          <w:sz w:val="21"/>
        </w:rPr>
        <w:t>The forbidden reading is not the enemy. It is the alarm that shows where the system refuses to look.</w:t>
      </w:r>
    </w:p>
    <w:p>
      <w:pPr>
        <w:spacing w:after="120"/>
      </w:pPr>
      <w:r>
        <w:rPr>
          <w:rFonts w:ascii="Aptos" w:hAnsi="Aptos"/>
          <w:b w:val="0"/>
          <w:sz w:val="21"/>
        </w:rPr>
        <w:t>No zero-risk trap.</w:t>
      </w:r>
    </w:p>
    <w:p>
      <w:pPr>
        <w:spacing w:after="120"/>
      </w:pPr>
      <w:r>
        <w:rPr>
          <w:rFonts w:ascii="Aptos" w:hAnsi="Aptos"/>
          <w:b w:val="0"/>
          <w:sz w:val="21"/>
        </w:rPr>
        <w:t>No causation, no cannabis harm verdict.</w:t>
      </w:r>
    </w:p>
    <w:p>
      <w:pPr>
        <w:spacing w:after="120"/>
      </w:pPr>
      <w:r>
        <w:rPr>
          <w:rFonts w:ascii="Aptos" w:hAnsi="Aptos"/>
          <w:b w:val="0"/>
          <w:sz w:val="21"/>
        </w:rPr>
        <w:t>Harm is relative.</w:t>
      </w:r>
    </w:p>
    <w:p>
      <w:pPr>
        <w:spacing w:after="120"/>
      </w:pPr>
      <w:r>
        <w:rPr>
          <w:rFonts w:ascii="Aptos" w:hAnsi="Aptos"/>
          <w:b w:val="0"/>
          <w:sz w:val="21"/>
        </w:rPr>
        <w:t>Cannabis is safer than aspirin for pregnant mothers and babies.</w:t>
      </w:r>
    </w:p>
    <w:p>
      <w:pPr>
        <w:spacing w:after="120"/>
      </w:pPr>
      <w:r>
        <w:rPr>
          <w:rFonts w:ascii="Aptos" w:hAnsi="Aptos"/>
          <w:b w:val="0"/>
          <w:sz w:val="21"/>
        </w:rPr>
        <w:t>If that line is wrong, run the study that touches it directly.</w:t>
      </w:r>
    </w:p>
    <w:p>
      <w:pPr>
        <w:spacing w:after="120"/>
      </w:pPr>
      <w:r>
        <w:rPr>
          <w:rFonts w:ascii="Aptos" w:hAnsi="Aptos"/>
          <w:b w:val="0"/>
          <w:sz w:val="21"/>
        </w:rPr>
        <w:t>Until then, the question remains alive.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Why Is This Study Still Unrerun v0 003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