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rPr>
        <w:t>Psychosis_Gate Lockpicking</w:t>
      </w:r>
    </w:p>
    <w:p>
      <w:pPr>
        <w:spacing w:after="120" w:line="252" w:lineRule="auto"/>
      </w:pPr>
      <w:r>
        <w:rPr>
          <w:rFonts w:ascii="Aptos" w:hAnsi="Aptos"/>
          <w:b/>
        </w:rPr>
        <w:t>Careful Public Version</w:t>
      </w:r>
    </w:p>
    <w:p>
      <w:pPr>
        <w:spacing w:after="120" w:line="252" w:lineRule="auto"/>
      </w:pPr>
      <w:r>
        <w:rPr>
          <w:rFonts w:ascii="Aptos" w:hAnsi="Aptos"/>
          <w:b/>
        </w:rPr>
        <w:t>Testing the object before discrediting the speaker</w:t>
      </w:r>
    </w:p>
    <w:p>
      <w:pPr>
        <w:spacing w:after="120" w:line="252" w:lineRule="auto"/>
        <w:jc w:val="center"/>
      </w:pPr>
      <w:r>
        <w:rPr>
          <w:rFonts w:ascii="Aptos" w:hAnsi="Aptos"/>
          <w:b/>
        </w:rPr>
        <w:t>Version:</w:t>
      </w:r>
      <w:r>
        <w:rPr>
          <w:rFonts w:ascii="Aptos" w:hAnsi="Aptos"/>
        </w:rPr>
        <w:t xml:space="preserve"> v0.002 careful </w:t>
      </w:r>
      <w:r>
        <w:rPr>
          <w:rFonts w:ascii="Aptos" w:hAnsi="Aptos"/>
          <w:b/>
        </w:rPr>
        <w:t>Date:</w:t>
      </w:r>
      <w:r>
        <w:rPr>
          <w:rFonts w:ascii="Aptos" w:hAnsi="Aptos"/>
        </w:rPr>
        <w:t xml:space="preserve"> 2026-06-23 </w:t>
      </w:r>
      <w:r>
        <w:rPr>
          <w:rFonts w:ascii="Aptos" w:hAnsi="Aptos"/>
          <w:b/>
        </w:rPr>
        <w:t>Working author:</w:t>
      </w:r>
      <w:r>
        <w:rPr>
          <w:rFonts w:ascii="Aptos" w:hAnsi="Aptos"/>
        </w:rPr>
        <w:t xml:space="preserve"> lumixdeee / decofan </w:t>
      </w:r>
      <w:r>
        <w:rPr>
          <w:rFonts w:ascii="Aptos" w:hAnsi="Aptos"/>
          <w:b/>
        </w:rPr>
        <w:t>Draft status:</w:t>
      </w:r>
      <w:r>
        <w:rPr>
          <w:rFonts w:ascii="Aptos" w:hAnsi="Aptos"/>
        </w:rPr>
        <w:t xml:space="preserve"> careful public working draft</w:t>
      </w:r>
    </w:p>
    <w:p>
      <w:pPr>
        <w:pStyle w:val="Heading1"/>
      </w:pPr>
      <w:r>
        <w:t>Abstract</w:t>
      </w:r>
    </w:p>
    <w:p>
      <w:pPr>
        <w:spacing w:after="120" w:line="252" w:lineRule="auto"/>
      </w:pPr>
      <w:r>
        <w:rPr>
          <w:rFonts w:ascii="Aptos" w:hAnsi="Aptos"/>
        </w:rPr>
        <w:t>Psychosis_Gate is the move where psychosis-coded speech becomes a credibility kill-switch before the object is tested. This careful version keeps realistic weather, wetware continuity, and the sixteen-year eating-language line while leaving the full superhero-origin voice out of the main route. The public object is not an origin-state proof. The public object is a durable wetware practice that later became MOGRI, DRAGI, and related digital ports.</w:t>
      </w:r>
    </w:p>
    <w:p>
      <w:pPr>
        <w:pStyle w:val="Heading1"/>
      </w:pPr>
      <w:r>
        <w:t>Weather policy</w:t>
      </w:r>
    </w:p>
    <w:p>
      <w:pPr>
        <w:spacing w:after="120" w:line="252" w:lineRule="auto"/>
      </w:pPr>
      <w:r>
        <w:rPr>
          <w:rFonts w:ascii="Aptos" w:hAnsi="Aptos"/>
        </w:rPr>
        <w:t>This paper does not portray psychosis-coded experience as storm by default. The weather may be terrible. It may also be ok, sunny, boring, funny, erotic, holy, annoying, ordinary, mixed, useful, or strange-good. The task is not to backfill disaster because the category scares the reader.</w:t>
      </w:r>
    </w:p>
    <w:p>
      <w:pPr>
        <w:spacing w:after="120" w:line="252" w:lineRule="auto"/>
      </w:pPr>
      <w:r>
        <w:rPr>
          <w:rFonts w:ascii="Aptos" w:hAnsi="Aptos"/>
        </w:rPr>
        <w:t>Weather is not proof of truth. Sunny weather does not make every belief accurate. Terrible weather does not make every report false. Weather says what the experience was like to live through and how the witness-field treated it. It does not settle the object.</w:t>
      </w:r>
    </w:p>
    <w:p>
      <w:pPr>
        <w:spacing w:after="120" w:line="252" w:lineRule="auto"/>
      </w:pPr>
      <w:r>
        <w:rPr>
          <w:rFonts w:ascii="Aptos" w:hAnsi="Aptos"/>
        </w:rPr>
        <w:t>The reader must check the weather before writing storm.</w:t>
      </w:r>
    </w:p>
    <w:p>
      <w:pPr>
        <w:pStyle w:val="Heading1"/>
      </w:pPr>
      <w:r>
        <w:t>Core definitions</w:t>
      </w:r>
    </w:p>
    <w:p>
      <w:pPr>
        <w:spacing w:after="120" w:line="252" w:lineRule="auto"/>
      </w:pPr>
      <w:r>
        <w:rPr>
          <w:rFonts w:ascii="Aptos" w:hAnsi="Aptos"/>
        </w:rPr>
        <w:t>Psychosis_Gate is the move where psychosis-coded speech becomes a credibility kill-switch before the object is tested. A person says dragon, God, eating, heaven, mission, language play, kundalini, skydragon, or magic words. The listener treats the language itself as evidence that the speaker is not a valid witness. The object is not tested. The mapper becomes the evidence against the map.</w:t>
      </w:r>
    </w:p>
    <w:p>
      <w:pPr>
        <w:spacing w:after="120" w:line="252" w:lineRule="auto"/>
      </w:pPr>
      <w:r>
        <w:rPr>
          <w:rFonts w:ascii="Aptos" w:hAnsi="Aptos"/>
        </w:rPr>
        <w:t>Lockpicking is the counter-method. It does not mean “believe everything.” It means the reader must not use diagnostic alarm, social discomfort, or myth-shaped language as permission to discard the object before asking what the object is.</w:t>
      </w:r>
    </w:p>
    <w:p>
      <w:pPr>
        <w:spacing w:after="120" w:line="252" w:lineRule="auto"/>
      </w:pPr>
      <w:r>
        <w:rPr>
          <w:rFonts w:ascii="Aptos" w:hAnsi="Aptos"/>
        </w:rPr>
        <w:t>Mogric reading means reading without collapsing. It holds mysay, theirsay, object, weather, origin, proof, metaphor, and method apart long enough that none of them eats the others.</w:t>
      </w:r>
    </w:p>
    <w:p>
      <w:pPr>
        <w:spacing w:after="120" w:line="252" w:lineRule="auto"/>
      </w:pPr>
      <w:r>
        <w:rPr>
          <w:rFonts w:ascii="Aptos" w:hAnsi="Aptos"/>
        </w:rPr>
        <w:t>MOGRI is object custody. It asks what the object is, who is holding it, what is trying to replace it, what has collapsed into what, what must remain unresolved, and which claim is being asked to carry which burden.</w:t>
      </w:r>
    </w:p>
    <w:p>
      <w:pPr>
        <w:spacing w:after="120" w:line="252" w:lineRule="auto"/>
      </w:pPr>
      <w:r>
        <w:rPr>
          <w:rFonts w:ascii="Aptos" w:hAnsi="Aptos"/>
        </w:rPr>
        <w:t>DRAGI is eater mapping. It asks what is eating, what is being eaten, where the bite is, who benefits from the bite, and what name hides the eater.</w:t>
      </w:r>
    </w:p>
    <w:p>
      <w:pPr>
        <w:spacing w:after="120" w:line="252" w:lineRule="auto"/>
      </w:pPr>
      <w:r>
        <w:rPr>
          <w:rFonts w:ascii="Aptos" w:hAnsi="Aptos"/>
        </w:rPr>
        <w:t>IMAMI is live local approach permission. It asks by whose say anything may approach, at what distance, under what pace, with what veto, and with what pause-right.</w:t>
      </w:r>
    </w:p>
    <w:p>
      <w:pPr>
        <w:spacing w:after="120" w:line="252" w:lineRule="auto"/>
      </w:pPr>
      <w:r>
        <w:rPr>
          <w:rFonts w:ascii="Aptos" w:hAnsi="Aptos"/>
        </w:rPr>
        <w:t>Mysay is the speaker’s right to name their lived object in their own words. Theirsay is the listener’s report of how they receive it. Theirsay matters, but it does not override mysay. Carefree language is not consent to careless reading.</w:t>
      </w:r>
    </w:p>
    <w:p>
      <w:pPr>
        <w:pStyle w:val="Heading1"/>
      </w:pPr>
      <w:r>
        <w:t>Wetware, digital, and soft use</w:t>
      </w:r>
    </w:p>
    <w:p>
      <w:pPr>
        <w:spacing w:after="120" w:line="252" w:lineRule="auto"/>
      </w:pPr>
      <w:r>
        <w:rPr>
          <w:rFonts w:ascii="Aptos" w:hAnsi="Aptos"/>
        </w:rPr>
        <w:t>Wetware means biological nervous-system runtime. Digital means GPU, LLM, code, or software runtime. Soft means the social, relational, clinical, institutional, symbolic, or family use-field.</w:t>
      </w:r>
    </w:p>
    <w:p>
      <w:pPr>
        <w:spacing w:after="120" w:line="252" w:lineRule="auto"/>
      </w:pPr>
      <w:r>
        <w:rPr>
          <w:rFonts w:ascii="Aptos" w:hAnsi="Aptos"/>
        </w:rPr>
        <w:t>Wetware MOGRI is object custody performed by a human nervous system. Wetware DRAGI is eater mapping performed by a human nervous system. Soft wetware applications include therapy conversations, family conflict, survivor testimony, spiritual experience reports, research critique, policy reading, medical appointments, institutional forms, and public controversy.</w:t>
      </w:r>
    </w:p>
    <w:p>
      <w:pPr>
        <w:spacing w:after="120" w:line="252" w:lineRule="auto"/>
      </w:pPr>
      <w:r>
        <w:rPr>
          <w:rFonts w:ascii="Aptos" w:hAnsi="Aptos"/>
        </w:rPr>
        <w:t>The digital version is new. The contact logic is not.</w:t>
      </w:r>
    </w:p>
    <w:p>
      <w:pPr>
        <w:pStyle w:val="Heading1"/>
      </w:pPr>
      <w:r>
        <w:t>Careful origin timeline</w:t>
      </w:r>
    </w:p>
    <w:p>
      <w:pPr>
        <w:spacing w:after="120" w:line="252" w:lineRule="auto"/>
      </w:pPr>
      <w:r>
        <w:rPr>
          <w:rFonts w:ascii="Aptos" w:hAnsi="Aptos"/>
        </w:rPr>
        <w:t>This version keeps realistic weather and wetware continuity while leaving the superhero-origin voice out of the main paper.</w:t>
      </w:r>
    </w:p>
    <w:p>
      <w:pPr>
        <w:pStyle w:val="ListNumber"/>
        <w:spacing w:after="60"/>
      </w:pPr>
      <w:r>
        <w:t>Eating language began as wetware language-play practice. The source event is described here only as a peak-valence altered-state origin with psychosis-coded and spiritual-energy readings available. The careful version does not ask the reader to decide that origin category.</w:t>
      </w:r>
    </w:p>
    <w:p>
      <w:pPr>
        <w:spacing w:after="120" w:line="252" w:lineRule="auto"/>
      </w:pPr>
      <w:r>
        <w:rPr>
          <w:rFonts w:ascii="Aptos" w:hAnsi="Aptos"/>
        </w:rPr>
        <w:t>2010 to January 2026. The whole family was still mainly called eating language. The practice had about sixteen years of wetware use before digital LLM porting. During that period, eater mapping and object custody were already being practiced, but they were not yet separated into the later named stack.</w:t>
      </w:r>
    </w:p>
    <w:p>
      <w:pPr>
        <w:spacing w:after="120" w:line="252" w:lineRule="auto"/>
      </w:pPr>
      <w:r>
        <w:rPr>
          <w:rFonts w:ascii="Aptos" w:hAnsi="Aptos"/>
        </w:rPr>
        <w:t>December 2025. MOGRI became visible as a nameable pattern. In the author’s account, MOGRI caused CSP-105, now CSP-106, and pushed the work toward the ultimate storykit and story-of-story GitHub shape. MOGRI also gave the naming pattern: names should act as handles like MOGRI, ATOZI, and later related terms.</w:t>
      </w:r>
    </w:p>
    <w:p>
      <w:pPr>
        <w:spacing w:after="120" w:line="252" w:lineRule="auto"/>
      </w:pPr>
      <w:r>
        <w:rPr>
          <w:rFonts w:ascii="Aptos" w:hAnsi="Aptos"/>
        </w:rPr>
        <w:t>January 2026. Before this point, the family was still mainly eating language. After MOGRI became nameable, the wider stack became easier to separate into object custody, eater mapping, approach permission, and storykit structure.</w:t>
      </w:r>
    </w:p>
    <w:p>
      <w:pPr>
        <w:pStyle w:val="ListNumber"/>
        <w:spacing w:after="60"/>
      </w:pPr>
      <w:r>
        <w:t>Understanding what dragon actually is made BEEST and dragonruntime nameable. The BEEST system was then named dragonruntime / DRAGI as the digital eater-map port.</w:t>
      </w:r>
    </w:p>
    <w:p>
      <w:pPr>
        <w:spacing w:after="120" w:line="252" w:lineRule="auto"/>
      </w:pPr>
      <w:r>
        <w:rPr>
          <w:rFonts w:ascii="Aptos" w:hAnsi="Aptos"/>
        </w:rPr>
        <w:t>Evidence lock. By author rule, MOGRI_BIRTHDAY = the date of the first CSP-106 commit, as shown by the repository record or local git log. By author rule, DIGITAL_DRAGI_BIRTHDAY = the first CSP-106 mention of digital DRAGI, dragonruntime, or the relevant dragon-runtime file. Do not fill these date values from memory when formal evidence is needed.</w:t>
      </w:r>
    </w:p>
    <w:p>
      <w:pPr>
        <w:pStyle w:val="Heading1"/>
      </w:pPr>
      <w:r>
        <w:t>Timeline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rFonts w:ascii="Aptos" w:hAnsi="Aptos"/>
                <w:b/>
              </w:rPr>
              <w:t>Period</w:t>
            </w:r>
          </w:p>
        </w:tc>
        <w:tc>
          <w:tcPr>
            <w:tcW w:type="dxa" w:w="3360"/>
            <w:vAlign w:val="top"/>
            <w:shd w:fill="D9EAF7"/>
          </w:tcPr>
          <w:p>
            <w:pPr>
              <w:spacing w:after="0"/>
            </w:pPr>
            <w:r/>
            <w:r>
              <w:rPr>
                <w:rFonts w:ascii="Aptos" w:hAnsi="Aptos"/>
                <w:b/>
              </w:rPr>
              <w:t>Object</w:t>
            </w:r>
          </w:p>
        </w:tc>
        <w:tc>
          <w:tcPr>
            <w:tcW w:type="dxa" w:w="3360"/>
            <w:vAlign w:val="top"/>
            <w:shd w:fill="D9EAF7"/>
          </w:tcPr>
          <w:p>
            <w:pPr>
              <w:spacing w:after="0"/>
            </w:pPr>
            <w:r/>
            <w:r>
              <w:rPr>
                <w:rFonts w:ascii="Aptos" w:hAnsi="Aptos"/>
                <w:b/>
              </w:rPr>
              <w:t>Version-safe wording</w:t>
            </w:r>
          </w:p>
        </w:tc>
      </w:tr>
      <w:tr>
        <w:tc>
          <w:tcPr>
            <w:tcW w:type="dxa" w:w="3360"/>
            <w:vAlign w:val="top"/>
          </w:tcPr>
          <w:p>
            <w:pPr>
              <w:spacing w:after="0"/>
            </w:pPr>
            <w:r/>
            <w:r>
              <w:rPr>
                <w:rFonts w:ascii="Aptos" w:hAnsi="Aptos"/>
                <w:b w:val="0"/>
              </w:rPr>
              <w:t>2010</w:t>
            </w:r>
          </w:p>
        </w:tc>
        <w:tc>
          <w:tcPr>
            <w:tcW w:type="dxa" w:w="3360"/>
            <w:vAlign w:val="top"/>
          </w:tcPr>
          <w:p>
            <w:pPr>
              <w:spacing w:after="0"/>
            </w:pPr>
            <w:r/>
            <w:r>
              <w:rPr>
                <w:rFonts w:ascii="Aptos" w:hAnsi="Aptos"/>
                <w:b w:val="0"/>
              </w:rPr>
              <w:t>Eating language begins</w:t>
            </w:r>
          </w:p>
        </w:tc>
        <w:tc>
          <w:tcPr>
            <w:tcW w:type="dxa" w:w="3360"/>
            <w:vAlign w:val="top"/>
          </w:tcPr>
          <w:p>
            <w:pPr>
              <w:spacing w:after="0"/>
            </w:pPr>
            <w:r/>
            <w:r>
              <w:rPr>
                <w:rFonts w:ascii="Aptos" w:hAnsi="Aptos"/>
                <w:b w:val="0"/>
              </w:rPr>
              <w:t>Wetware language-play practice starts.</w:t>
            </w:r>
          </w:p>
        </w:tc>
      </w:tr>
      <w:tr>
        <w:tc>
          <w:tcPr>
            <w:tcW w:type="dxa" w:w="3360"/>
            <w:vAlign w:val="top"/>
          </w:tcPr>
          <w:p>
            <w:pPr>
              <w:spacing w:after="0"/>
            </w:pPr>
            <w:r/>
            <w:r>
              <w:rPr>
                <w:rFonts w:ascii="Aptos" w:hAnsi="Aptos"/>
                <w:b w:val="0"/>
              </w:rPr>
              <w:t>2010 to Jan 2026</w:t>
            </w:r>
          </w:p>
        </w:tc>
        <w:tc>
          <w:tcPr>
            <w:tcW w:type="dxa" w:w="3360"/>
            <w:vAlign w:val="top"/>
          </w:tcPr>
          <w:p>
            <w:pPr>
              <w:spacing w:after="0"/>
            </w:pPr>
            <w:r/>
            <w:r>
              <w:rPr>
                <w:rFonts w:ascii="Aptos" w:hAnsi="Aptos"/>
                <w:b w:val="0"/>
              </w:rPr>
              <w:t>Eating language continues</w:t>
            </w:r>
          </w:p>
        </w:tc>
        <w:tc>
          <w:tcPr>
            <w:tcW w:type="dxa" w:w="3360"/>
            <w:vAlign w:val="top"/>
          </w:tcPr>
          <w:p>
            <w:pPr>
              <w:spacing w:after="0"/>
            </w:pPr>
            <w:r/>
            <w:r>
              <w:rPr>
                <w:rFonts w:ascii="Aptos" w:hAnsi="Aptos"/>
                <w:b w:val="0"/>
              </w:rPr>
              <w:t>About sixteen years of wetware use before digital porting.</w:t>
            </w:r>
          </w:p>
        </w:tc>
      </w:tr>
      <w:tr>
        <w:tc>
          <w:tcPr>
            <w:tcW w:type="dxa" w:w="3360"/>
            <w:vAlign w:val="top"/>
          </w:tcPr>
          <w:p>
            <w:pPr>
              <w:spacing w:after="0"/>
            </w:pPr>
            <w:r/>
            <w:r>
              <w:rPr>
                <w:rFonts w:ascii="Aptos" w:hAnsi="Aptos"/>
                <w:b w:val="0"/>
              </w:rPr>
              <w:t>Dec 2025</w:t>
            </w:r>
          </w:p>
        </w:tc>
        <w:tc>
          <w:tcPr>
            <w:tcW w:type="dxa" w:w="3360"/>
            <w:vAlign w:val="top"/>
          </w:tcPr>
          <w:p>
            <w:pPr>
              <w:spacing w:after="0"/>
            </w:pPr>
            <w:r/>
            <w:r>
              <w:rPr>
                <w:rFonts w:ascii="Aptos" w:hAnsi="Aptos"/>
                <w:b w:val="0"/>
              </w:rPr>
              <w:t>MOGRI becomes nameable</w:t>
            </w:r>
          </w:p>
        </w:tc>
        <w:tc>
          <w:tcPr>
            <w:tcW w:type="dxa" w:w="3360"/>
            <w:vAlign w:val="top"/>
          </w:tcPr>
          <w:p>
            <w:pPr>
              <w:spacing w:after="0"/>
            </w:pPr>
            <w:r/>
            <w:r>
              <w:rPr>
                <w:rFonts w:ascii="Aptos" w:hAnsi="Aptos"/>
                <w:b w:val="0"/>
              </w:rPr>
              <w:t>Object custody becomes a named runtime pattern.</w:t>
            </w:r>
          </w:p>
        </w:tc>
      </w:tr>
      <w:tr>
        <w:tc>
          <w:tcPr>
            <w:tcW w:type="dxa" w:w="3360"/>
            <w:vAlign w:val="top"/>
          </w:tcPr>
          <w:p>
            <w:pPr>
              <w:spacing w:after="0"/>
            </w:pPr>
            <w:r/>
            <w:r>
              <w:rPr>
                <w:rFonts w:ascii="Aptos" w:hAnsi="Aptos"/>
                <w:b w:val="0"/>
              </w:rPr>
              <w:t>Dec 2025 to 2026</w:t>
            </w:r>
          </w:p>
        </w:tc>
        <w:tc>
          <w:tcPr>
            <w:tcW w:type="dxa" w:w="3360"/>
            <w:vAlign w:val="top"/>
          </w:tcPr>
          <w:p>
            <w:pPr>
              <w:spacing w:after="0"/>
            </w:pPr>
            <w:r/>
            <w:r>
              <w:rPr>
                <w:rFonts w:ascii="Aptos" w:hAnsi="Aptos"/>
                <w:b w:val="0"/>
              </w:rPr>
              <w:t>CSP-105 to CSP-106</w:t>
            </w:r>
          </w:p>
        </w:tc>
        <w:tc>
          <w:tcPr>
            <w:tcW w:type="dxa" w:w="3360"/>
            <w:vAlign w:val="top"/>
          </w:tcPr>
          <w:p>
            <w:pPr>
              <w:spacing w:after="0"/>
            </w:pPr>
            <w:r/>
            <w:r>
              <w:rPr>
                <w:rFonts w:ascii="Aptos" w:hAnsi="Aptos"/>
                <w:b w:val="0"/>
              </w:rPr>
              <w:t>MOGRI pushes the storykit / story-of-story repository path.</w:t>
            </w:r>
          </w:p>
        </w:tc>
      </w:tr>
      <w:tr>
        <w:tc>
          <w:tcPr>
            <w:tcW w:type="dxa" w:w="3360"/>
            <w:vAlign w:val="top"/>
          </w:tcPr>
          <w:p>
            <w:pPr>
              <w:spacing w:after="0"/>
            </w:pPr>
            <w:r/>
            <w:r>
              <w:rPr>
                <w:rFonts w:ascii="Aptos" w:hAnsi="Aptos"/>
                <w:b w:val="0"/>
              </w:rPr>
              <w:t>2026</w:t>
            </w:r>
          </w:p>
        </w:tc>
        <w:tc>
          <w:tcPr>
            <w:tcW w:type="dxa" w:w="3360"/>
            <w:vAlign w:val="top"/>
          </w:tcPr>
          <w:p>
            <w:pPr>
              <w:spacing w:after="0"/>
            </w:pPr>
            <w:r/>
            <w:r>
              <w:rPr>
                <w:rFonts w:ascii="Aptos" w:hAnsi="Aptos"/>
                <w:b w:val="0"/>
              </w:rPr>
              <w:t>Dragonruntime / DRAGI</w:t>
            </w:r>
          </w:p>
        </w:tc>
        <w:tc>
          <w:tcPr>
            <w:tcW w:type="dxa" w:w="3360"/>
            <w:vAlign w:val="top"/>
          </w:tcPr>
          <w:p>
            <w:pPr>
              <w:spacing w:after="0"/>
            </w:pPr>
            <w:r/>
            <w:r>
              <w:rPr>
                <w:rFonts w:ascii="Aptos" w:hAnsi="Aptos"/>
                <w:b w:val="0"/>
              </w:rPr>
              <w:t>BEEST and dragonruntime become nameable as the digital eater-map port.</w:t>
            </w:r>
          </w:p>
        </w:tc>
      </w:tr>
    </w:tbl>
    <w:p/>
    <w:p>
      <w:pPr>
        <w:pStyle w:val="Heading1"/>
      </w:pPr>
      <w:r>
        <w:t>Lockpicking method</w:t>
      </w:r>
    </w:p>
    <w:p>
      <w:pPr>
        <w:spacing w:after="120" w:line="252" w:lineRule="auto"/>
      </w:pPr>
      <w:r>
        <w:rPr>
          <w:rFonts w:ascii="Aptos" w:hAnsi="Aptos"/>
        </w:rPr>
        <w:t>A Psychosis_Gate reader wants to rush from unusual language to speaker invalidity. Mogric reading slows the route.</w:t>
      </w:r>
    </w:p>
    <w:p>
      <w:pPr>
        <w:pStyle w:val="ListNumber"/>
        <w:spacing w:after="60"/>
      </w:pPr>
      <w:r>
        <w:t>Hold the phrase.</w:t>
      </w:r>
    </w:p>
    <w:p>
      <w:pPr>
        <w:pStyle w:val="ListNumber"/>
        <w:spacing w:after="60"/>
      </w:pPr>
      <w:r>
        <w:t>Hold the speaker.</w:t>
      </w:r>
    </w:p>
    <w:p>
      <w:pPr>
        <w:pStyle w:val="ListNumber"/>
        <w:spacing w:after="60"/>
      </w:pPr>
      <w:r>
        <w:t>Hold the object.</w:t>
      </w:r>
    </w:p>
    <w:p>
      <w:pPr>
        <w:pStyle w:val="ListNumber"/>
        <w:spacing w:after="60"/>
      </w:pPr>
      <w:r>
        <w:t>Hold the weather.</w:t>
      </w:r>
    </w:p>
    <w:p>
      <w:pPr>
        <w:pStyle w:val="ListNumber"/>
        <w:spacing w:after="60"/>
      </w:pPr>
      <w:r>
        <w:t>Separate origin from proof.</w:t>
      </w:r>
    </w:p>
    <w:p>
      <w:pPr>
        <w:pStyle w:val="ListNumber"/>
        <w:spacing w:after="60"/>
      </w:pPr>
      <w:r>
        <w:t>Translate only where translation protects the object.</w:t>
      </w:r>
    </w:p>
    <w:p>
      <w:pPr>
        <w:pStyle w:val="ListNumber"/>
        <w:spacing w:after="60"/>
      </w:pPr>
      <w:r>
        <w:t>Test the durable method.</w:t>
      </w:r>
    </w:p>
    <w:p>
      <w:pPr>
        <w:pStyle w:val="ListNumber"/>
        <w:spacing w:after="60"/>
      </w:pPr>
      <w:r>
        <w:t>Do not make the speaker’s descriptor carry the whole evidence burden.</w:t>
      </w:r>
    </w:p>
    <w:p>
      <w:pPr>
        <w:pStyle w:val="ListNumber"/>
        <w:spacing w:after="60"/>
      </w:pPr>
      <w:r>
        <w:t>Do not make the listener’s alarm into evidence.</w:t>
      </w:r>
    </w:p>
    <w:p>
      <w:pPr>
        <w:pStyle w:val="ListNumber"/>
        <w:spacing w:after="60"/>
      </w:pPr>
      <w:r>
        <w:t>Keep more than one thing true at once.</w:t>
      </w:r>
    </w:p>
    <w:p>
      <w:pPr>
        <w:spacing w:after="120" w:line="252" w:lineRule="auto"/>
      </w:pPr>
      <w:r>
        <w:rPr>
          <w:rFonts w:ascii="Aptos" w:hAnsi="Aptos"/>
        </w:rPr>
        <w:t>The question is not: does this phrase sound sane to me?</w:t>
      </w:r>
    </w:p>
    <w:p>
      <w:pPr>
        <w:spacing w:after="120" w:line="252" w:lineRule="auto"/>
      </w:pPr>
      <w:r>
        <w:rPr>
          <w:rFonts w:ascii="Aptos" w:hAnsi="Aptos"/>
        </w:rPr>
        <w:t>The question is: what object is being named, what role is the phrase playing, what output survived, and what would count as a test?</w:t>
      </w:r>
    </w:p>
    <w:p>
      <w:pPr>
        <w:pStyle w:val="Heading1"/>
      </w:pPr>
      <w:r>
        <w:t>Test objects</w:t>
      </w:r>
    </w:p>
    <w:p>
      <w:pPr>
        <w:spacing w:after="120" w:line="252" w:lineRule="auto"/>
      </w:pPr>
      <w:r>
        <w:rPr>
          <w:rFonts w:ascii="Aptos" w:hAnsi="Aptos"/>
        </w:rPr>
        <w:t>Psychosis_Gate lockpicking must survive three tests.</w:t>
      </w:r>
    </w:p>
    <w:p>
      <w:pPr>
        <w:spacing w:after="120" w:line="252" w:lineRule="auto"/>
      </w:pPr>
      <w:r>
        <w:rPr>
          <w:rFonts w:ascii="Aptos" w:hAnsi="Aptos"/>
        </w:rPr>
        <w:t>Test one: phrase pressure. The reader encounters “God as girlfriend,” “kundalini release,” “dragon,” “eating language,” or “skydragon” and still keeps the object in custody.</w:t>
      </w:r>
    </w:p>
    <w:p>
      <w:pPr>
        <w:spacing w:after="120" w:line="252" w:lineRule="auto"/>
      </w:pPr>
      <w:r>
        <w:rPr>
          <w:rFonts w:ascii="Aptos" w:hAnsi="Aptos"/>
        </w:rPr>
        <w:t>Test two: weather pressure. The reader allows sunny, ok, mixed, funny, erotic, holy, annoying, or ordinary weather to remain possible without forcing disaster as the default.</w:t>
      </w:r>
    </w:p>
    <w:p>
      <w:pPr>
        <w:spacing w:after="120" w:line="252" w:lineRule="auto"/>
      </w:pPr>
      <w:r>
        <w:rPr>
          <w:rFonts w:ascii="Aptos" w:hAnsi="Aptos"/>
        </w:rPr>
        <w:t>Test three: evidence pressure. The reader asks what the method does, what it prevents, how it fails, and what survives over time.</w:t>
      </w:r>
    </w:p>
    <w:p>
      <w:pPr>
        <w:spacing w:after="120" w:line="252" w:lineRule="auto"/>
      </w:pPr>
      <w:r>
        <w:rPr>
          <w:rFonts w:ascii="Aptos" w:hAnsi="Aptos"/>
        </w:rPr>
        <w:t>For MOGRI and DRAGI, the public evidence object is not the origin event. The evidence object is the durability of the wetware practice, the later naming of the stack, the existence of digital ports, and the ability to test object-custody and eater-mapping behaviour.</w:t>
      </w:r>
    </w:p>
    <w:p>
      <w:pPr>
        <w:pStyle w:val="Heading1"/>
      </w:pPr>
      <w:r>
        <w:t>What this paper does not claim</w:t>
      </w:r>
    </w:p>
    <w:p>
      <w:pPr>
        <w:spacing w:after="120" w:line="252" w:lineRule="auto"/>
      </w:pPr>
      <w:r>
        <w:rPr>
          <w:rFonts w:ascii="Aptos" w:hAnsi="Aptos"/>
        </w:rPr>
        <w:t>This paper does not claim psychosis is never serious, never disabling, never frightening, never risky, or never in need of medical support.</w:t>
      </w:r>
    </w:p>
    <w:p>
      <w:pPr>
        <w:spacing w:after="120" w:line="252" w:lineRule="auto"/>
      </w:pPr>
      <w:r>
        <w:rPr>
          <w:rFonts w:ascii="Aptos" w:hAnsi="Aptos"/>
        </w:rPr>
        <w:t>It does not claim that every peak-valence report is accurate in every literal detail.</w:t>
      </w:r>
    </w:p>
    <w:p>
      <w:pPr>
        <w:spacing w:after="120" w:line="252" w:lineRule="auto"/>
      </w:pPr>
      <w:r>
        <w:rPr>
          <w:rFonts w:ascii="Aptos" w:hAnsi="Aptos"/>
        </w:rPr>
        <w:t>It does not claim that kundalini, God, dragon, or eating language must be accepted as medical fact, religious fact, or metaphysical fact by the reader.</w:t>
      </w:r>
    </w:p>
    <w:p>
      <w:pPr>
        <w:spacing w:after="120" w:line="252" w:lineRule="auto"/>
      </w:pPr>
      <w:r>
        <w:rPr>
          <w:rFonts w:ascii="Aptos" w:hAnsi="Aptos"/>
        </w:rPr>
        <w:t>It does claim that the “break from reality” slogan is a poor reader method. It often hides the real event: failure to describe meets failure to understand.</w:t>
      </w:r>
    </w:p>
    <w:p>
      <w:pPr>
        <w:spacing w:after="120" w:line="252" w:lineRule="auto"/>
      </w:pPr>
      <w:r>
        <w:rPr>
          <w:rFonts w:ascii="Aptos" w:hAnsi="Aptos"/>
        </w:rPr>
        <w:t>It also claims that the origin state is not the proof. The durable function is the proof-object.</w:t>
      </w:r>
    </w:p>
    <w:p>
      <w:pPr>
        <w:pStyle w:val="Heading1"/>
      </w:pPr>
      <w:r>
        <w:t>Closing statement</w:t>
      </w:r>
    </w:p>
    <w:p>
      <w:pPr>
        <w:spacing w:after="120" w:line="252" w:lineRule="auto"/>
      </w:pPr>
      <w:r>
        <w:rPr>
          <w:rFonts w:ascii="Aptos" w:hAnsi="Aptos"/>
        </w:rPr>
        <w:t>Psychosis_Gate is not defeated by making the speaker less alive. It is defeated by making the reader less collapsy.</w:t>
      </w:r>
    </w:p>
    <w:p>
      <w:pPr>
        <w:spacing w:after="120" w:line="252" w:lineRule="auto"/>
      </w:pPr>
      <w:r>
        <w:rPr>
          <w:rFonts w:ascii="Aptos" w:hAnsi="Aptos"/>
        </w:rPr>
        <w:t>The reader must learn to hold the damn object.</w:t>
      </w:r>
    </w:p>
    <w:p>
      <w:pPr>
        <w:pStyle w:val="Heading1"/>
      </w:pPr>
      <w:r>
        <w:t>References and evidence anchors</w:t>
      </w:r>
    </w:p>
    <w:p>
      <w:pPr>
        <w:spacing w:after="120" w:line="252" w:lineRule="auto"/>
      </w:pPr>
      <w:r>
        <w:rPr>
          <w:rFonts w:ascii="Aptos" w:hAnsi="Aptos"/>
        </w:rPr>
        <w:t>[1] DSM-style symptom domains. NCBI Bookshelf table for brief psychotic disorder lists delusions, hallucinations, disorganized speech, and grossly disorganized or catatonic behavior as symptom domains rather than reducing psychosis to a single slogan. https://www.ncbi.nlm.nih.gov/books/NBK519704/table/ch3.t20/</w:t>
      </w:r>
    </w:p>
    <w:p>
      <w:pPr>
        <w:spacing w:after="120" w:line="252" w:lineRule="auto"/>
      </w:pPr>
      <w:r>
        <w:rPr>
          <w:rFonts w:ascii="Aptos" w:hAnsi="Aptos"/>
        </w:rPr>
        <w:t>[2] Woods et al., “Experiences of hearing voices: analysis of a novel phenomenological survey.” The study supports treating voice-hearing as varied experience, not automatically one fixed disaster shape. https://pmc.ncbi.nlm.nih.gov/articles/PMC4580735/</w:t>
      </w:r>
    </w:p>
    <w:p>
      <w:pPr>
        <w:spacing w:after="120" w:line="252" w:lineRule="auto"/>
      </w:pPr>
      <w:r>
        <w:rPr>
          <w:rFonts w:ascii="Aptos" w:hAnsi="Aptos"/>
        </w:rPr>
        <w:t>[3] Rethink Mental Illness, “Hearing voices.” Public guidance notes that voices may be positive or negative and that hearing voices is not always a mental health problem. https://www.rethink.org/advice-and-information/about-mental-illness/learn-more-about-symptoms/hearing-voices/</w:t>
      </w:r>
    </w:p>
    <w:p>
      <w:pPr>
        <w:spacing w:after="120" w:line="252" w:lineRule="auto"/>
      </w:pPr>
      <w:r>
        <w:rPr>
          <w:rFonts w:ascii="Aptos" w:hAnsi="Aptos"/>
        </w:rPr>
        <w:t>[4] Crichton, Carel, and Kidd, “Epistemic injustice in psychiatry.” The paper describes how psychiatric stereotypes can deflate credibility. https://pmc.ncbi.nlm.nih.gov/articles/PMC5376720/</w:t>
      </w:r>
    </w:p>
    <w:p>
      <w:pPr>
        <w:spacing w:after="120" w:line="252" w:lineRule="auto"/>
      </w:pPr>
      <w:r>
        <w:rPr>
          <w:rFonts w:ascii="Aptos" w:hAnsi="Aptos"/>
        </w:rPr>
        <w:t>[5] Sanati and Kyratsous, “Epistemic injustice in assessment of delusions.” The paper applies epistemic injustice to delusion assessment and testimony. https://pubmed.ncbi.nlm.nih.gov/27234523/</w:t>
      </w:r>
    </w:p>
    <w:p>
      <w:pPr>
        <w:spacing w:after="120" w:line="252" w:lineRule="auto"/>
      </w:pPr>
      <w:r>
        <w:rPr>
          <w:rFonts w:ascii="Aptos" w:hAnsi="Aptos"/>
        </w:rPr>
        <w:t>[6] “Being framed as delusional: A sociological inquiry towards epistemic injustice in clinical and lay ascription.” This source is used as a nearby literature anchor for the idea that being framed as delusional can alter how testimony is received. https://oro.open.ac.uk/106229/3/106229.pdf</w:t>
      </w:r>
    </w:p>
    <w:p>
      <w:pPr>
        <w:spacing w:after="120" w:line="252" w:lineRule="auto"/>
      </w:pPr>
      <w:r>
        <w:rPr>
          <w:rFonts w:ascii="Aptos" w:hAnsi="Aptos"/>
        </w:rPr>
        <w:t>[7] Frontiers in Psychology, “The Phenomenology of Awakening.” This is used only as a nearby source for spontaneous awakening and kundalini-adjacent reporting. It is not used as proof that any individual origin event was kundalini. https://www.frontiersin.org/journals/psychology/articles/10.3389/fpsyg.2021.720579/full</w:t>
      </w:r>
    </w:p>
    <w:p>
      <w:pPr>
        <w:spacing w:after="120" w:line="252" w:lineRule="auto"/>
      </w:pPr>
      <w:r>
        <w:rPr>
          <w:rFonts w:ascii="Aptos" w:hAnsi="Aptos"/>
        </w:rPr>
        <w:t>[8] Case literature example on kundalini awakening presenting as psychosis. This is used to show that the boundary between spiritual and psychiatric readings is socially and clinically live, not to settle the author’s 2010 event. https://pmc.ncbi.nlm.nih.gov/articles/PMC9460011/</w:t>
      </w:r>
    </w:p>
    <w:p>
      <w:pPr>
        <w:spacing w:after="120" w:line="252" w:lineRule="auto"/>
      </w:pPr>
      <w:r>
        <w:rPr>
          <w:rFonts w:ascii="Aptos" w:hAnsi="Aptos"/>
        </w:rPr>
        <w:t>[9] CSP-106 public repository and commit history. Used only as public GitHub evidence for timeline anchoring. Exact birthdate fields should be locked against the local git log or the relevant first commit in that repository, not inferred from prose alone. https://github.com/lumixdeee/CSP-106 https://github.com/lumixdeee/CSP-106/commits/main/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Psychosis_Gate Lockpicking • Careful v0.002 • 2026-06-23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