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0" w:after="80"/>
        <w:jc w:val="center"/>
        <w:rPr/>
      </w:pPr>
      <w:r>
        <w:rPr>
          <w:rFonts w:ascii="Liberation Sans" w:hAnsi="Liberation Sans"/>
          <w:b/>
          <w:sz w:val="36"/>
        </w:rPr>
        <w:t>Gobekli Tepe and the First-Perceived-Wealth Problem</w:t>
      </w:r>
    </w:p>
    <w:p>
      <w:pPr>
        <w:pStyle w:val="Normal"/>
        <w:keepNext w:val="true"/>
        <w:spacing w:before="0" w:after="80"/>
        <w:jc w:val="center"/>
        <w:rPr/>
      </w:pPr>
      <w:r>
        <w:rPr>
          <w:rFonts w:ascii="Liberation Sans" w:hAnsi="Liberation Sans"/>
          <w:i/>
          <w:sz w:val="24"/>
        </w:rPr>
        <w:t>Warning Architecture, Ritual Utility, and Raider-Risk at the Farming Hinge</w:t>
      </w:r>
    </w:p>
    <w:p>
      <w:pPr>
        <w:pStyle w:val="Normal"/>
        <w:keepNext w:val="true"/>
        <w:spacing w:before="0" w:after="200"/>
        <w:jc w:val="center"/>
        <w:rPr/>
      </w:pPr>
      <w:r>
        <w:rPr/>
        <w:t>Working paper v0.91 | human review draft | 20 May 2026</w:t>
      </w:r>
    </w:p>
    <w:p>
      <w:pPr>
        <w:pStyle w:val="Heading1"/>
        <w:keepNext w:val="true"/>
        <w:spacing w:before="180" w:after="80"/>
        <w:rPr/>
      </w:pPr>
      <w:r>
        <w:rPr/>
        <w:t>Abstract</w:t>
      </w:r>
    </w:p>
    <w:p>
      <w:pPr>
        <w:pStyle w:val="Normal"/>
        <w:spacing w:lineRule="auto" w:line="252" w:before="0" w:after="120"/>
        <w:rPr/>
      </w:pPr>
      <w:r>
        <w:rPr/>
        <w:t>This paper does not argue that Gobekli Tepe was mainly a fort, animal trap, person-catcher, hunting office, or storage compound. Version 0.91 is the first human-review refinement. It arranges the argument around one central claim: a ceremonial system may also have acted as warning architecture during the first-perceived-wealth problem. The paper does not require full agriculture at Gobekli Tepe. It argues that the bottleneck was not basic knowledge of plants, animals, walls, fences, grain processing, or storage. The harder problem was making stationary life work while older mobile support systems still had to be maintained.</w:t>
      </w:r>
    </w:p>
    <w:p>
      <w:pPr>
        <w:pStyle w:val="Normal"/>
        <w:spacing w:lineRule="auto" w:line="252" w:before="0" w:after="120"/>
        <w:rPr/>
      </w:pPr>
      <w:r>
        <w:rPr/>
        <w:t>The core reading remains ritual-social: gathering, feasting, death practice, T-pillars as stone persons, animal imagery, social identity, and regional symbolic network. The added layer is first-perceived-wealth raider-risk. The site emitted involuntary signals of success, including food processing, smoke, feasting, visitors, and monumentality. Monumentality then acted as a counter-signal: an unignorable display of coalition capacity, ritual authority, labour coordination, and likely retaliation cost. The thesis asks how a group could become visible and worth testing before it became agriculturally secure.</w:t>
      </w:r>
    </w:p>
    <w:p>
      <w:pPr>
        <w:pStyle w:val="Heading1"/>
        <w:keepNext w:val="true"/>
        <w:spacing w:before="180" w:after="80"/>
        <w:rPr/>
      </w:pPr>
      <w:r>
        <w:rPr/>
        <w:t>Anti-misread note</w:t>
      </w:r>
    </w:p>
    <w:p>
      <w:pPr>
        <w:pStyle w:val="Normal"/>
        <w:spacing w:lineRule="auto" w:line="252" w:before="0" w:after="120"/>
        <w:rPr/>
      </w:pPr>
      <w:r>
        <w:rPr/>
        <w:t>The model does not propose that herds were driven into the central enclosures, that T-pillars were fencing posts, that outsiders were captured for labour, or that ritual was a cover story for economics. The central enclosures remain the ritual core. Any tactical affordance belongs to approaches, thresholds, outer routes, terraces, timber additions, and temporary screens, and remains speculative unless field data supports it.</w:t>
      </w:r>
    </w:p>
    <w:p>
      <w:pPr>
        <w:pStyle w:val="Heading1"/>
        <w:keepNext w:val="true"/>
        <w:spacing w:before="180" w:after="80"/>
        <w:rPr/>
      </w:pPr>
      <w:r>
        <w:rPr/>
        <w:t>1. Claim status and rank discipline</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28"/>
        <w:gridCol w:w="2628"/>
        <w:gridCol w:w="2629"/>
        <w:gridCol w:w="2626"/>
      </w:tblGrid>
      <w:tr>
        <w:trPr>
          <w:cantSplit w:val="true"/>
        </w:trPr>
        <w:tc>
          <w:tcPr>
            <w:tcW w:w="262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Rank</w:t>
            </w:r>
          </w:p>
        </w:tc>
        <w:tc>
          <w:tcPr>
            <w:tcW w:w="262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Function</w:t>
            </w:r>
          </w:p>
        </w:tc>
        <w:tc>
          <w:tcPr>
            <w:tcW w:w="2629"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Evidence status</w:t>
            </w:r>
          </w:p>
        </w:tc>
        <w:tc>
          <w:tcPr>
            <w:tcW w:w="2626"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Use in v0.9</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Core</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Ceremonial gathering, feasting, death practice, T-pillars as stone persons, social identity, regional symbolic network.</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Strongest fit to present descriptions.</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Main frame. Not replaced.</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Central added layer</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First-perceived-wealth raider-risk deterrence: warning, guest-role conversion, intimidation, memory, and rare failed attack.</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Compatible and testable, but direct raid proof is absent.</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Main new thesis layer.</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Supporting competence layer</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Hunting, feasting, animal danger, food processing, coordinated movement, large gatherings.</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Supported by fauna, aurochs hunting lesion, gazelle seasonality questions, and grinding/pounding tools.</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Shows competence. Does not make an animal-trap model.</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Low-rank mechanisms</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Delay-and-drop, reroute, roof or upper-surface failure, predator attraction, mortuary crisis roles.</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Unproven. Require route, timber, repair, scatter, and context testing.</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Mechanism proposals only.</w:t>
            </w:r>
          </w:p>
        </w:tc>
      </w:tr>
    </w:tbl>
    <w:p>
      <w:pPr>
        <w:pStyle w:val="Normal"/>
        <w:rPr/>
      </w:pPr>
      <w:r>
        <w:rPr/>
      </w:r>
    </w:p>
    <w:p>
      <w:pPr>
        <w:pStyle w:val="Normal"/>
        <w:spacing w:lineRule="auto" w:line="252" w:before="0" w:after="120"/>
        <w:rPr/>
      </w:pPr>
      <w:r>
        <w:rPr/>
        <w:t>The paper uses rank discipline: one known role cannot swallow the others. Ritual does not erase use. Use does not erase ritual. Hunting evidence cannot become an animal-trap conclusion. Raider-risk cannot become a person-catcher model. Absence of direct raid proof keeps the raider-risk layer low-rank, not dead.</w:t>
      </w:r>
    </w:p>
    <w:p>
      <w:pPr>
        <w:pStyle w:val="Heading1"/>
        <w:keepNext w:val="true"/>
        <w:spacing w:before="180" w:after="80"/>
        <w:rPr/>
      </w:pPr>
      <w:r>
        <w:rPr/>
        <w:t>2. Site baseline and evidence floor</w:t>
      </w:r>
    </w:p>
    <w:p>
      <w:pPr>
        <w:pStyle w:val="Normal"/>
        <w:spacing w:lineRule="auto" w:line="252" w:before="0" w:after="120"/>
        <w:rPr/>
      </w:pPr>
      <w:r>
        <w:rPr>
          <w:sz w:val="20"/>
        </w:rP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pStyle w:val="Normal"/>
        <w:spacing w:lineRule="auto" w:line="252" w:before="0" w:after="120"/>
        <w:rPr/>
      </w:pPr>
      <w:r>
        <w:rPr>
          <w:sz w:val="20"/>
        </w:rP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pStyle w:val="Normal"/>
        <w:spacing w:lineRule="auto" w:line="252" w:before="0" w:after="120"/>
        <w:rPr/>
      </w:pPr>
      <w:r>
        <w:rPr>
          <w:sz w:val="20"/>
        </w:rPr>
        <w:t>The evidence floor also includes wild animal remains, animal imagery, direct hunting evidence, scattered human fragments, modified skull material, complex fill histories, and regional T-pillar parallels. These facts support the ritual-social core and the hunt/feast competence layer. They do not, by themselves, prove raider-risk deterrence.</w:t>
      </w:r>
    </w:p>
    <w:p>
      <w:pPr>
        <w:pStyle w:val="Heading1"/>
        <w:keepNext w:val="true"/>
        <w:spacing w:before="180" w:after="80"/>
        <w:rPr/>
      </w:pPr>
      <w:r>
        <w:rPr/>
        <w:t>3. The stationary problem: capability was not enough</w:t>
      </w:r>
    </w:p>
    <w:p>
      <w:pPr>
        <w:pStyle w:val="Normal"/>
        <w:spacing w:lineRule="auto" w:line="252" w:before="0" w:after="120"/>
        <w:rPr/>
      </w:pPr>
      <w:r>
        <w:rP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pPr>
        <w:pStyle w:val="Normal"/>
        <w:spacing w:lineRule="auto" w:line="252" w:before="0" w:after="120"/>
        <w:rPr/>
      </w:pPr>
      <w:r>
        <w:rP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pPr>
        <w:pStyle w:val="Normal"/>
        <w:spacing w:lineRule="auto" w:line="252" w:before="0" w:after="120"/>
        <w:rPr/>
      </w:pPr>
      <w:r>
        <w:rP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keepNext w:val="true"/>
        <w:spacing w:before="180" w:after="80"/>
        <w:rPr/>
      </w:pPr>
      <w:r>
        <w:rPr/>
        <w:t>4. Event-rate realism: attackers need not succeed</w:t>
      </w:r>
    </w:p>
    <w:p>
      <w:pPr>
        <w:pStyle w:val="Normal"/>
        <w:spacing w:lineRule="auto" w:line="252" w:before="0" w:after="120"/>
        <w:rPr/>
      </w:pPr>
      <w:r>
        <w:rPr>
          <w:sz w:val="20"/>
        </w:rPr>
        <w:t>The model does not require repeated successful raids. It requires stress events, occasional attempts, and remembered failure. Across a long use-life and a regional gathering catchment, bad winters, failed hunts, missed gazelle pulses, disease, drought pockets, broken exchange relations, and injuries could generate raider pressure many times without producing many battle layers at the core site.</w:t>
      </w:r>
    </w:p>
    <w:p>
      <w:pPr>
        <w:pStyle w:val="Normal"/>
        <w:spacing w:lineRule="auto" w:line="252" w:before="0" w:after="120"/>
        <w:rPr/>
      </w:pPr>
      <w:r>
        <w:rPr>
          <w:sz w:val="20"/>
        </w:rPr>
        <w:t>One early incident could teach the resident group where the system nearly failed. A later failed attempt could create warning memory. After that, most of the work may be done by reputation, guest-role conversion, avoidance, bargaining, or aborted approaches. The stone does not need to fall often if the story keeps falling.</w:t>
      </w:r>
    </w:p>
    <w:p>
      <w:pPr>
        <w:pStyle w:val="Heading1"/>
        <w:keepNext w:val="true"/>
        <w:spacing w:before="180" w:after="80"/>
        <w:rPr/>
      </w:pPr>
      <w:r>
        <w:rPr/>
        <w:t>5. Ritual core, psychological threshold, and outer routes</w:t>
      </w:r>
    </w:p>
    <w:p>
      <w:pPr>
        <w:pStyle w:val="Normal"/>
        <w:spacing w:lineRule="auto" w:line="252" w:before="0" w:after="120"/>
        <w:rPr/>
      </w:pPr>
      <w:r>
        <w:rPr>
          <w:sz w:val="20"/>
        </w:rPr>
        <w:t>The central enclosures are the ritual core, not the proposed combat chamber. Their inward-facing design, central stone persons, benches, animal imagery, and death-practice associations support gathering, memory, and attention. Any tactical affordance should be looked for in approaches, threshold zones, terraces, outer routes, temporary timber, screens, and store-adjacent or food-adjacent barriers.</w:t>
      </w:r>
    </w:p>
    <w:p>
      <w:pPr>
        <w:pStyle w:val="Normal"/>
        <w:spacing w:lineRule="auto" w:line="252" w:before="0" w:after="120"/>
        <w:rPr/>
      </w:pPr>
      <w:r>
        <w:rPr>
          <w:sz w:val="20"/>
        </w:rPr>
        <w:t>The threshold mechanism is psychological before it is mechanical. Human raiders are not herd animals. They can see a bottleneck, argue, hesitate, scout, or retreat. The model only needs a brief high-stress pause at a charged boundary: hunger meets taboo, fear, visible reward, dogs, stone persons, watchers, height, noise, and uncertainty. A short delay can remove surprise and give resident watchmen time to signal, gather, or act from better ground.</w:t>
      </w:r>
    </w:p>
    <w:p>
      <w:pPr>
        <w:pStyle w:val="Normal"/>
        <w:rPr/>
      </w:pPr>
      <w:r>
        <w:rPr/>
      </w:r>
      <w:r>
        <w:br w:type="page"/>
      </w:r>
    </w:p>
    <w:p>
      <w:pPr>
        <w:pStyle w:val="Heading1"/>
        <w:keepNext w:val="true"/>
        <w:spacing w:before="0" w:after="80"/>
        <w:rPr/>
      </w:pPr>
      <w:r>
        <w:rPr/>
        <w:t>6. Metrics and scale checks</w:t>
      </w:r>
    </w:p>
    <w:p>
      <w:pPr>
        <w:pStyle w:val="Normal"/>
        <w:spacing w:lineRule="auto" w:line="252" w:before="0" w:after="120"/>
        <w:rPr/>
      </w:pPr>
      <w:r>
        <w:rPr>
          <w:sz w:val="20"/>
        </w:rP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04"/>
        <w:gridCol w:w="3504"/>
        <w:gridCol w:w="3504"/>
      </w:tblGrid>
      <w:tr>
        <w:trPr>
          <w:cantSplit w:val="true"/>
        </w:trPr>
        <w:tc>
          <w:tcPr>
            <w:tcW w:w="350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Feature or quantity</w:t>
            </w:r>
          </w:p>
        </w:tc>
        <w:tc>
          <w:tcPr>
            <w:tcW w:w="350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Scale check</w:t>
            </w:r>
          </w:p>
        </w:tc>
        <w:tc>
          <w:tcPr>
            <w:tcW w:w="350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Interpretive use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Circular floor area</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10 m diameter: c. 78.5 m2; 15 m: c. 176.7 m2; 20 m: c. 314.2 m2.</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Sets event and gathering scale. Not animal-trap proof.</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Workable gathering capacity</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At 1.5 m2 per person: c. 52, 118, or 209 people for 10, 15, or 20 m diameter.</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Witness, feast, ritual, or crowd capacity.</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Narrow approach queue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5 m x 1.2 m can hold roughly 6-10 bunched people.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Tests whether a small vanguard could be paused or exposed.</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Drop or blockage strip</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4 m x 1 m affects a front cluster, not an army.</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Keeps tactical claims small-scale.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Dry cereal storage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 rough cereal density of c. 700-800 kg/m3 and c. 3400 kcal/kg means 1 m3 can represent c. 2.4-2.7 million kcal.</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Shows why even modest perceived stores could matter. Actual stores require evidence.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Pit or hollow volume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Diameter 2 m, depth 1 m: c. 3.1 m3. Diameter 4 m, depth 1.5 m: c. 18.8 m3.</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Affordance test for storage, water, fill, trap, or closure models.</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Bone mineral value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Bone stores calcium and phosphorus; processed bone meal can be calcium-rich. [15-17]</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Resident delayed value, tool stock, animal feed, trace-loss pathway. Not primary raider bait.</w:t>
            </w:r>
          </w:p>
        </w:tc>
      </w:tr>
    </w:tbl>
    <w:p>
      <w:pPr>
        <w:pStyle w:val="Normal"/>
        <w:rPr/>
      </w:pPr>
      <w:r>
        <w:rPr/>
      </w:r>
    </w:p>
    <w:p>
      <w:pPr>
        <w:pStyle w:val="Heading1"/>
        <w:keepNext w:val="true"/>
        <w:spacing w:before="180" w:after="80"/>
        <w:rPr/>
      </w:pPr>
      <w:r>
        <w:rPr/>
        <w:t>7. Testing plan: lead with multi-proxy threshold evidence</w:t>
      </w:r>
    </w:p>
    <w:p>
      <w:pPr>
        <w:pStyle w:val="Normal"/>
        <w:spacing w:lineRule="auto" w:line="252" w:before="0" w:after="120"/>
        <w:rPr/>
      </w:pPr>
      <w:r>
        <w:rPr>
          <w:sz w:val="20"/>
        </w:rPr>
        <w:t>The strongest test plan is not a hunt for heroic artifacts. It is a multi-proxy threshold study. Scavengers, trampling, feasting, grinding, tool repair, and fill movement can all mimic or erase organic signals. Soil chemistry alone is weak. A threshold-stress pattern must align across unrelated evidence classes.</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04"/>
        <w:gridCol w:w="3504"/>
        <w:gridCol w:w="3504"/>
      </w:tblGrid>
      <w:tr>
        <w:trPr>
          <w:cantSplit w:val="true"/>
        </w:trPr>
        <w:tc>
          <w:tcPr>
            <w:tcW w:w="350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Test target</w:t>
            </w:r>
          </w:p>
        </w:tc>
        <w:tc>
          <w:tcPr>
            <w:tcW w:w="350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What to look for</w:t>
            </w:r>
          </w:p>
        </w:tc>
        <w:tc>
          <w:tcPr>
            <w:tcW w:w="350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What it would resolve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Impact-diagnostic traces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Impact-shattered lithic fragments, embedded tip fragments, fracture-wing geometry, step terminations, limestone spalling or micro-striations.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Whether approach zones preserve violent-contact signals beyond ordinary tool work.</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Taphonomic filter</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Compare organic residues with stone-surface damage, lithic damage, repair, route placement, fill sequence, and scavenger disturbance.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Whether residue patterns survive animal and domestic noise.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Route overlay</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Approaches, thresholds, benches, terraces, possible platforms, outer routes, and reroutes.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Whether people could be delayed, observed, bunched, or redirected.</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Map placeholder</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Figure 1: approach-route overlay showing outer routes, charged thresholds, higher observation points, pause zones, and sampling areas.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Visual test plan for v1.0 or data-hunt stage.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Timber and access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Postholes, sockets, impressions, roof or screen evidence, attachment marks.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Whether lost architecture changed sightlines, access, or upper surfaces.</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Repair and rubble</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Blocked openings, patched thresholds, unusual rubble placement, repeated stress zones.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Whether route zones carried unusual pressure.</w:t>
            </w:r>
          </w:p>
        </w:tc>
      </w:tr>
      <w:tr>
        <w:trPr>
          <w:cantSplit w:val="true"/>
        </w:trPr>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Visitors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Isotopes, non-local materials, style links, exchange objects.</w:t>
            </w:r>
          </w:p>
        </w:tc>
        <w:tc>
          <w:tcPr>
            <w:tcW w:w="3504"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Who came, from how far, and under which seasonal conditions.</w:t>
            </w:r>
          </w:p>
        </w:tc>
      </w:tr>
    </w:tbl>
    <w:p>
      <w:pPr>
        <w:pStyle w:val="Normal"/>
        <w:rPr/>
      </w:pPr>
      <w:r>
        <w:rPr/>
      </w:r>
    </w:p>
    <w:p>
      <w:pPr>
        <w:pStyle w:val="Normal"/>
        <w:rPr/>
      </w:pPr>
      <w:r>
        <w:rPr/>
      </w:r>
      <w:r>
        <w:br w:type="page"/>
      </w:r>
    </w:p>
    <w:p>
      <w:pPr>
        <w:pStyle w:val="Heading1"/>
        <w:keepNext w:val="true"/>
        <w:spacing w:before="0" w:after="80"/>
        <w:rPr/>
      </w:pPr>
      <w:r>
        <w:rPr/>
        <w:t>8. Evidence matrix</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28"/>
        <w:gridCol w:w="2628"/>
        <w:gridCol w:w="2629"/>
        <w:gridCol w:w="2626"/>
      </w:tblGrid>
      <w:tr>
        <w:trPr>
          <w:cantSplit w:val="true"/>
        </w:trPr>
        <w:tc>
          <w:tcPr>
            <w:tcW w:w="262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Strand</w:t>
            </w:r>
          </w:p>
        </w:tc>
        <w:tc>
          <w:tcPr>
            <w:tcW w:w="262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Anchor</w:t>
            </w:r>
          </w:p>
        </w:tc>
        <w:tc>
          <w:tcPr>
            <w:tcW w:w="2629"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Supports</w:t>
            </w:r>
          </w:p>
        </w:tc>
        <w:tc>
          <w:tcPr>
            <w:tcW w:w="2626"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Limit</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Architecture</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Round-oval buildings c. 10-20 m inner diameter; central pillars up to 5.5 m; benches and wall-set pillars. [1], [2]</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Gathering, visibility, route shaping, possible timber staging.</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Does not prove tactical use.</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Food tools</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More than 7000 grinding and pounding artifacts, mostly cereal-related. [2]</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Feasting, labour concentration, resource broadcast.</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Large stores not identified in that study.</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Fauna and hunting</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Gazelle, aurochs, wild ass, boar, wild sheep/mouflon, fox; aurochs hunting lesion. [3], [4], [7], [8]</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Hunt and feast competence; dangerous body handling.</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Hunt evidence, not raid evidence.</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Human remains</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Modified skull fragments and scattered human bone in fill contexts. [5], [6]</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Death practice, memory, trace loss, mortuary ambiguity.</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Does not prove raid, siege, or conspecific consumption.</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Conflict background</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Kortik Tepe discussion notes interpersonal violence and conflict mitigation, with limited intergroup proxies. [9]</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Regional social heat and need for mitigation.</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Indirect comparison only.</w:t>
            </w:r>
          </w:p>
        </w:tc>
      </w:tr>
      <w:tr>
        <w:trPr>
          <w:cantSplit w:val="true"/>
        </w:trPr>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Stratigraphy and fill</w:t>
            </w:r>
          </w:p>
        </w:tc>
        <w:tc>
          <w:tcPr>
            <w:tcW w:w="2628"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Built-on-rock work stresses complex mound formation, slope processes, repairs, and revision of older fill assumptions. [10]</w:t>
            </w:r>
          </w:p>
        </w:tc>
        <w:tc>
          <w:tcPr>
            <w:tcW w:w="2629"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Need for sequence, route, and repair testing.</w:t>
            </w:r>
          </w:p>
        </w:tc>
        <w:tc>
          <w:tcPr>
            <w:tcW w:w="262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Moved material can mimic tactical traces.</w:t>
            </w:r>
          </w:p>
        </w:tc>
      </w:tr>
    </w:tbl>
    <w:p>
      <w:pPr>
        <w:pStyle w:val="Normal"/>
        <w:rPr/>
      </w:pPr>
      <w:r>
        <w:rPr/>
      </w:r>
    </w:p>
    <w:p>
      <w:pPr>
        <w:pStyle w:val="Heading1"/>
        <w:keepNext w:val="true"/>
        <w:spacing w:before="180" w:after="80"/>
        <w:rPr/>
      </w:pPr>
      <w:r>
        <w:rPr/>
        <w:t>9. Projectiles: incoming, salvaged, and low-rank</w:t>
      </w:r>
    </w:p>
    <w:p>
      <w:pPr>
        <w:pStyle w:val="Normal"/>
        <w:spacing w:lineRule="auto" w:line="252" w:before="0" w:after="120"/>
        <w:rPr/>
      </w:pPr>
      <w:r>
        <w:rPr>
          <w:sz w:val="20"/>
        </w:rP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pPr>
        <w:pStyle w:val="Normal"/>
        <w:spacing w:lineRule="auto" w:line="252" w:before="0" w:after="120"/>
        <w:rPr/>
      </w:pPr>
      <w:r>
        <w:rPr>
          <w:sz w:val="20"/>
        </w:rP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keepNext w:val="true"/>
        <w:spacing w:before="180" w:after="80"/>
        <w:rPr/>
      </w:pPr>
      <w:r>
        <w:rPr/>
        <w:t>10. Bone, scavengers, and competitor displacement</w:t>
      </w:r>
    </w:p>
    <w:p>
      <w:pPr>
        <w:pStyle w:val="Normal"/>
        <w:spacing w:lineRule="auto" w:line="252" w:before="0" w:after="120"/>
        <w:rPr/>
      </w:pPr>
      <w:r>
        <w:rPr>
          <w:sz w:val="20"/>
        </w:rPr>
        <w:t>Bone is not proposed as primary raider bait. It is part of the resident group’s delayed-value ecology: marrow, mineral, tool stock, animal feed, ritual matter, trace-loss pathway, and food-scent source. Bone fragments and food waste can attract suids, canids, vultures, and other scavengers into known observation zones. This helps explain why traces may move, vanish, or acquire gnaw marks.</w:t>
      </w:r>
    </w:p>
    <w:p>
      <w:pPr>
        <w:pStyle w:val="Normal"/>
        <w:spacing w:lineRule="auto" w:line="252" w:before="0" w:after="120"/>
        <w:rPr/>
      </w:pPr>
      <w:r>
        <w:rPr>
          <w:sz w:val="20"/>
        </w:rPr>
        <w:t>Large carnivores such as bears should be treated differently. A wounded bear is not dependable meat unless it dies nearby. The value of shooting or displacing such an animal may be competitor reduction around nuts, honey, carrion, stores, or processing zones. This remains an opportunistic scarcity-ecology note, not a main explanation for the site.</w:t>
      </w:r>
    </w:p>
    <w:p>
      <w:pPr>
        <w:pStyle w:val="Heading1"/>
        <w:keepNext w:val="true"/>
        <w:spacing w:before="180" w:after="80"/>
        <w:rPr/>
      </w:pPr>
      <w:r>
        <w:rPr/>
        <w:t>11. Regional network and T-pillar echo</w:t>
      </w:r>
    </w:p>
    <w:p>
      <w:pPr>
        <w:pStyle w:val="Normal"/>
        <w:spacing w:lineRule="auto" w:line="252" w:before="0" w:after="120"/>
        <w:rPr/>
      </w:pPr>
      <w:r>
        <w:rPr>
          <w:sz w:val="20"/>
        </w:rPr>
        <w:t>Gobekli Tepe should not be treated as an isolated target. Regional T-pillar sites and related symbolic forms suggest a broader landscape of shared monument language, visitors, allies, and emulation. A raider group approaching one node may be approaching a network of kin, guests, exchange partners, and ritual obligations rather than a lone pantry.</w:t>
      </w:r>
    </w:p>
    <w:p>
      <w:pPr>
        <w:pStyle w:val="Normal"/>
        <w:spacing w:lineRule="auto" w:line="252" w:before="0" w:after="120"/>
        <w:rPr/>
      </w:pPr>
      <w:r>
        <w:rPr>
          <w:sz w:val="20"/>
        </w:rPr>
        <w:t>Other T-pillar sites need not share the original GT problem or layout. Once the monument language exists, related sites can adopt it as prestige echo, coalition signalling, regional identity claim, or participation marker. They can say, in stone, that their people also belong to the world of organised negotiable value.</w:t>
      </w:r>
    </w:p>
    <w:p>
      <w:pPr>
        <w:pStyle w:val="Heading1"/>
        <w:keepNext w:val="true"/>
        <w:spacing w:before="180" w:after="80"/>
        <w:rPr/>
      </w:pPr>
      <w:r>
        <w:rPr/>
        <w:t>12. Speculative mechanisms, kept short</w:t>
      </w:r>
    </w:p>
    <w:p>
      <w:pPr>
        <w:pStyle w:val="Normal"/>
        <w:spacing w:lineRule="auto" w:line="252" w:before="0" w:after="120"/>
        <w:rPr/>
      </w:pPr>
      <w:r>
        <w:rPr>
          <w:sz w:val="20"/>
        </w:rPr>
        <w:t>Delay-and-drop remains the strongest tactical affordance: a visible or scent-linked threshold delays the front of a small raiding group, psychological friction produces a pause, and defenders use height or side positions to break momentum. This is a proposed use of architecture, not a proven event.</w:t>
      </w:r>
    </w:p>
    <w:p>
      <w:pPr>
        <w:pStyle w:val="Normal"/>
        <w:spacing w:lineRule="auto" w:line="252" w:before="0" w:after="120"/>
        <w:rPr/>
      </w:pPr>
      <w:r>
        <w:rPr>
          <w:sz w:val="20"/>
        </w:rPr>
        <w:t>Roof or upper-surface failure is weaker and should stay in an appendix or low-rank note unless timber, route, collapse, and repair evidence support it. Mortuary crisis roles and rare emergency conspecific consumption are also edge cases. Modified skull fragments are best treated first as death practice and body handling; scarcity readings remain theoretical limit-cases, not ordinary practice.</w:t>
      </w:r>
    </w:p>
    <w:p>
      <w:pPr>
        <w:pStyle w:val="Heading1"/>
        <w:keepNext w:val="true"/>
        <w:spacing w:before="180" w:after="80"/>
        <w:rPr/>
      </w:pPr>
      <w:r>
        <w:rPr/>
        <w:t>13. What would strengthen or weaken the model</w:t>
      </w:r>
    </w:p>
    <w:tbl>
      <w:tblPr>
        <w:tblStyle w:val="TableGrid"/>
        <w:tblW w:w="105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256"/>
        <w:gridCol w:w="5255"/>
      </w:tblGrid>
      <w:tr>
        <w:trPr>
          <w:cantSplit w:val="true"/>
        </w:trPr>
        <w:tc>
          <w:tcPr>
            <w:tcW w:w="5256"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Would strengthen</w:t>
            </w:r>
          </w:p>
        </w:tc>
        <w:tc>
          <w:tcPr>
            <w:tcW w:w="5255"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 w:val="16"/>
                <w:szCs w:val="22"/>
                <w:lang w:val="en-US" w:eastAsia="en-US" w:bidi="ar-SA"/>
              </w:rPr>
              <w:t>Would weaken</w:t>
            </w:r>
          </w:p>
        </w:tc>
      </w:tr>
      <w:tr>
        <w:trPr>
          <w:cantSplit w:val="true"/>
        </w:trPr>
        <w:tc>
          <w:tcPr>
            <w:tcW w:w="525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Approach-route overlay shows delay, observation, bunching, or reroute potential.</w:t>
            </w:r>
          </w:p>
        </w:tc>
        <w:tc>
          <w:tcPr>
            <w:tcW w:w="5255"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Plan overlay shows no meaningful route delay, observation, bunching, or reroute potential.</w:t>
            </w:r>
          </w:p>
        </w:tc>
      </w:tr>
      <w:tr>
        <w:trPr>
          <w:cantSplit w:val="true"/>
        </w:trPr>
        <w:tc>
          <w:tcPr>
            <w:tcW w:w="525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Impact-diagnostic lithic/stone traces align with threshold routes and repair.</w:t>
            </w:r>
          </w:p>
        </w:tc>
        <w:tc>
          <w:tcPr>
            <w:tcW w:w="5255"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Micro-traces dissolve into ordinary knapping, grinding, trampling, or fill processes.</w:t>
            </w:r>
          </w:p>
        </w:tc>
      </w:tr>
      <w:tr>
        <w:trPr>
          <w:cantSplit w:val="true"/>
        </w:trPr>
        <w:tc>
          <w:tcPr>
            <w:tcW w:w="525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Timber, screen, roof, platform, or access evidence changes route and sightline readings.</w:t>
            </w:r>
          </w:p>
        </w:tc>
        <w:tc>
          <w:tcPr>
            <w:tcW w:w="5255"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No timber, screen, platform, or access evidence appears after detailed study.</w:t>
            </w:r>
          </w:p>
        </w:tc>
      </w:tr>
      <w:tr>
        <w:trPr>
          <w:cantSplit w:val="true"/>
        </w:trPr>
        <w:tc>
          <w:tcPr>
            <w:tcW w:w="525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Human remains show patterned skull handling, teeth, cut marks, animal damage, or context-specific redeposition.</w:t>
            </w:r>
          </w:p>
        </w:tc>
        <w:tc>
          <w:tcPr>
            <w:tcW w:w="5255"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Human remains are fully explained by unrelated disturbance or later movement.</w:t>
            </w:r>
          </w:p>
        </w:tc>
      </w:tr>
      <w:tr>
        <w:trPr>
          <w:cantSplit w:val="true"/>
        </w:trPr>
        <w:tc>
          <w:tcPr>
            <w:tcW w:w="5256"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Visitor and material signatures show wide gathering networks and seasonal influx.</w:t>
            </w:r>
          </w:p>
        </w:tc>
        <w:tc>
          <w:tcPr>
            <w:tcW w:w="5255" w:type="dxa"/>
            <w:tcBorders/>
          </w:tcPr>
          <w:p>
            <w:pPr>
              <w:pStyle w:val="Normal"/>
              <w:widowControl/>
              <w:suppressAutoHyphens w:val="true"/>
              <w:spacing w:lineRule="auto" w:line="240" w:before="0" w:after="0"/>
              <w:jc w:val="left"/>
              <w:rPr>
                <w:rFonts w:cs=""/>
                <w:kern w:val="0"/>
                <w:szCs w:val="22"/>
                <w:lang w:val="en-US" w:eastAsia="en-US" w:bidi="ar-SA"/>
              </w:rPr>
            </w:pPr>
            <w:r>
              <w:rPr>
                <w:rFonts w:cs=""/>
                <w:b w:val="false"/>
                <w:kern w:val="0"/>
                <w:sz w:val="16"/>
                <w:szCs w:val="22"/>
                <w:lang w:val="en-US" w:eastAsia="en-US" w:bidi="ar-SA"/>
              </w:rPr>
              <w:t>A simpler model explains ritual, food, animal, death, route, and visibility data with fewer assumptions.</w:t>
            </w:r>
          </w:p>
        </w:tc>
      </w:tr>
    </w:tbl>
    <w:p>
      <w:pPr>
        <w:pStyle w:val="Normal"/>
        <w:rPr/>
      </w:pPr>
      <w:r>
        <w:rPr/>
      </w:r>
    </w:p>
    <w:p>
      <w:pPr>
        <w:pStyle w:val="Heading1"/>
        <w:keepNext w:val="true"/>
        <w:spacing w:before="180" w:after="80"/>
        <w:rPr/>
      </w:pPr>
      <w:r>
        <w:rPr/>
        <w:t>14. Public and academic language note</w:t>
      </w:r>
    </w:p>
    <w:p>
      <w:pPr>
        <w:pStyle w:val="Normal"/>
        <w:spacing w:lineRule="auto" w:line="252" w:before="0" w:after="120"/>
        <w:rPr/>
      </w:pPr>
      <w:r>
        <w:rPr/>
        <w:t>Version 0.91 keeps only one local working verb in the main text and otherwise begins translating the draft toward ordinary archaeological language. The full v1.0 pass can complete that translation without changing the paper’s spine: do not let one known role swallow another, do not turn absence into proof too quickly, and keep speculative mechanisms in rank until data supports them.</w:t>
      </w:r>
    </w:p>
    <w:p>
      <w:pPr>
        <w:pStyle w:val="Normal"/>
        <w:spacing w:lineRule="auto" w:line="252" w:before="0" w:after="120"/>
        <w:rPr/>
      </w:pPr>
      <w:r>
        <w:rPr/>
        <w:t>For v1.0, the methods note can map the earlier local vocabulary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pPr>
        <w:pStyle w:val="Heading1"/>
        <w:keepNext w:val="true"/>
        <w:spacing w:before="180" w:after="80"/>
        <w:rPr/>
      </w:pPr>
      <w:r>
        <w:rPr/>
        <w:t>Conclusion</w:t>
      </w:r>
    </w:p>
    <w:p>
      <w:pPr>
        <w:pStyle w:val="Normal"/>
        <w:spacing w:lineRule="auto" w:line="252" w:before="0" w:after="120"/>
        <w:rPr/>
      </w:pPr>
      <w:r>
        <w:rPr/>
        <w:t>Version 0.91 is the first human-review refinement. The thesis is no longer a trap claim. It is a warning-architecture claim inside a ritual-social system. The paper also separates agricultural capability from agricultural viability: people may have known how to grow, process, store, fence, and gather food before they knew how to make stationary life safe and reliable.</w:t>
      </w:r>
    </w:p>
    <w:p>
      <w:pPr>
        <w:pStyle w:val="Normal"/>
        <w:spacing w:lineRule="auto" w:line="252" w:before="0" w:after="120"/>
        <w:rPr/>
      </w:pPr>
      <w:r>
        <w:rPr/>
        <w:t>The added layer is first-perceived-wealth raider-risk. The site’s food events, smoke, grinding, visitors, monumentality, and regional node position could make it visible to hungry outsiders. Its ritual core, stone persons, threshold effects, coalition signal, and outer-route affordances could convert many outsiders into guests, witnesses, allies, or warned rivals before violence formed. If violence did form, the model predicts rare attempts, remembered failures, and small traces filtered through later use, scavengers, repair, and fill.</w:t>
      </w:r>
    </w:p>
    <w:p>
      <w:pPr>
        <w:pStyle w:val="Normal"/>
        <w:spacing w:lineRule="auto" w:line="252" w:before="0" w:after="120"/>
        <w:rPr/>
      </w:pPr>
      <w:r>
        <w:rPr/>
        <w:t>The next stage is human review: test readability, trim draft scars, check references, and decide which speculative mechanisms belong in the main text and which should sit in an appendix.</w:t>
      </w:r>
    </w:p>
    <w:p>
      <w:pPr>
        <w:pStyle w:val="Heading1"/>
        <w:keepNext w:val="true"/>
        <w:spacing w:before="180" w:after="80"/>
        <w:rPr/>
      </w:pPr>
      <w:r>
        <w:rPr/>
        <w:t>References and source anchors</w:t>
      </w:r>
    </w:p>
    <w:p>
      <w:pPr>
        <w:pStyle w:val="Normal"/>
        <w:spacing w:lineRule="auto" w:line="240" w:before="0" w:after="20"/>
        <w:rPr/>
      </w:pPr>
      <w:r>
        <w:rPr>
          <w:sz w:val="16"/>
        </w:rPr>
        <w:t>[1] UNESCO World Heritage Centre. Gobekli Tepe: dates, setting, T-pillars, and ritual framing. https://whc.unesco.org/en/list/1572/</w:t>
      </w:r>
    </w:p>
    <w:p>
      <w:pPr>
        <w:pStyle w:val="Normal"/>
        <w:spacing w:lineRule="auto" w:line="240" w:before="0" w:after="20"/>
        <w:rPr/>
      </w:pPr>
      <w:r>
        <w:rPr>
          <w:sz w:val="16"/>
        </w:rPr>
        <w:t>[2] Dietrich et al. 2019. Cereal processing at Early Neolithic Gobekli Tepe, southeastern Turkey. PLOS ONE. https://journals.plos.org/plosone/article?id=10.1371/journal.pone.0215214</w:t>
      </w:r>
    </w:p>
    <w:p>
      <w:pPr>
        <w:pStyle w:val="Normal"/>
        <w:spacing w:lineRule="auto" w:line="240" w:before="0" w:after="20"/>
        <w:rPr/>
      </w:pPr>
      <w:r>
        <w:rPr>
          <w:sz w:val="16"/>
        </w:rPr>
        <w:t>[3] Pollath et al. 2018. Almost a chest hit: an aurochs humerus with hunting lesion from Gobekli Tepe. Quaternary International. https://www.sciencedirect.com/science/article/abs/pii/S104061821731296X</w:t>
      </w:r>
    </w:p>
    <w:p>
      <w:pPr>
        <w:pStyle w:val="Normal"/>
        <w:spacing w:lineRule="auto" w:line="240" w:before="0" w:after="20"/>
        <w:rPr/>
      </w:pPr>
      <w:r>
        <w:rPr>
          <w:sz w:val="16"/>
        </w:rPr>
        <w:t>[4] DAI, The Tepe Telegrams. On the hunt, some 12,000 years ago: an aurochs bone with hunting lesion from Gobekli Tepe. https://www.dainst.blog/the-tepe-telegrams/2018/01/17/on-the-hunt-some-12-000-years-ago-an-aurochs-bone-with-hunting-lesion-from-gobekli-tepe/</w:t>
      </w:r>
    </w:p>
    <w:p>
      <w:pPr>
        <w:pStyle w:val="Normal"/>
        <w:spacing w:lineRule="auto" w:line="240" w:before="0" w:after="20"/>
        <w:rPr/>
      </w:pPr>
      <w:r>
        <w:rPr>
          <w:sz w:val="16"/>
        </w:rPr>
        <w:t>[5] Gresky et al. 2017. Modified human crania from Gobekli Tepe provide evidence for a new form of Neolithic skull practice. Science Advances. https://www.science.org/doi/10.1126/sciadv.1700564</w:t>
      </w:r>
    </w:p>
    <w:p>
      <w:pPr>
        <w:pStyle w:val="Normal"/>
        <w:spacing w:lineRule="auto" w:line="240" w:before="0" w:after="20"/>
        <w:rPr/>
      </w:pPr>
      <w:r>
        <w:rPr>
          <w:sz w:val="16"/>
        </w:rPr>
        <w:t>[6] DAI, The Tepe Telegrams. Evidence for skull practice at Gobekli Tepe. https://www.dainst.blog/the-tepe-telegrams/2017/06/28/new-publication-in-science-advances-evidence-for-skull-cult-at-gobekli-tepe/</w:t>
      </w:r>
    </w:p>
    <w:p>
      <w:pPr>
        <w:pStyle w:val="Normal"/>
        <w:spacing w:lineRule="auto" w:line="240" w:before="0" w:after="20"/>
        <w:rPr/>
      </w:pPr>
      <w:r>
        <w:rPr>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pStyle w:val="Normal"/>
        <w:spacing w:lineRule="auto" w:line="240" w:before="0" w:after="20"/>
        <w:rPr/>
      </w:pPr>
      <w:r>
        <w:rPr>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pStyle w:val="Normal"/>
        <w:spacing w:lineRule="auto" w:line="240" w:before="0" w:after="20"/>
        <w:rPr/>
      </w:pPr>
      <w:r>
        <w:rPr>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pStyle w:val="Normal"/>
        <w:spacing w:lineRule="auto" w:line="240" w:before="0" w:after="20"/>
        <w:rPr/>
      </w:pPr>
      <w:r>
        <w:rPr>
          <w:sz w:val="16"/>
        </w:rPr>
        <w:t>[10] Kinzel and colleagues. Built on Rock: reconstruction of the Neolithic topography of Gobekli Tepe. https://publications.dainst.org/journals/istmitt/article/view/4708/8479</w:t>
      </w:r>
    </w:p>
    <w:p>
      <w:pPr>
        <w:pStyle w:val="Normal"/>
        <w:spacing w:lineRule="auto" w:line="240" w:before="0" w:after="20"/>
        <w:rPr/>
      </w:pPr>
      <w:r>
        <w:rPr>
          <w:sz w:val="16"/>
        </w:rPr>
        <w:t>[11] DAI, The Tepe Telegrams. T-pillars and anthropomorphic features. https://www.dainst.blog/the-tepe-telegrams/tag/t-pillars/</w:t>
      </w:r>
    </w:p>
    <w:p>
      <w:pPr>
        <w:pStyle w:val="Normal"/>
        <w:spacing w:lineRule="auto" w:line="240" w:before="0" w:after="20"/>
        <w:rPr/>
      </w:pPr>
      <w:r>
        <w:rPr>
          <w:sz w:val="16"/>
        </w:rPr>
        <w:t>[12] The Tepe Telegrams. Current distribution of sites with T-shaped pillars. https://tepetelegrams.wordpress.com/2016/05/08/the-current-distribution-of-sites-with-t-shaped-pillars/</w:t>
      </w:r>
    </w:p>
    <w:p>
      <w:pPr>
        <w:pStyle w:val="Normal"/>
        <w:spacing w:lineRule="auto" w:line="240" w:before="0" w:after="20"/>
        <w:rPr/>
      </w:pPr>
      <w:r>
        <w:rPr>
          <w:sz w:val="16"/>
        </w:rPr>
        <w:t>[13] Smith 2001. Low-Level Food Production. Journal of Archaeological Research. https://faculty.washington.edu/stevehar/Smith%202001-%20Low%20Level%20food%20Production.pdf</w:t>
      </w:r>
    </w:p>
    <w:p>
      <w:pPr>
        <w:pStyle w:val="Normal"/>
        <w:spacing w:lineRule="auto" w:line="240" w:before="0" w:after="20"/>
        <w:rPr/>
      </w:pPr>
      <w:r>
        <w:rPr>
          <w:sz w:val="16"/>
        </w:rPr>
        <w:t>[14] Zeder 2011. The Origins of Agriculture in the Near East. Current Anthropology. https://www.journals.uchicago.edu/doi/10.1086/659307</w:t>
      </w:r>
    </w:p>
    <w:p>
      <w:pPr>
        <w:pStyle w:val="Normal"/>
        <w:spacing w:lineRule="auto" w:line="240" w:before="0" w:after="20"/>
        <w:rPr/>
      </w:pPr>
      <w:r>
        <w:rPr>
          <w:sz w:val="16"/>
        </w:rPr>
        <w:t>[15] NIH Office of Dietary Supplements. Calcium fact sheet for health professionals. https://ods.od.nih.gov/factsheets/Calcium-HealthProfessional/</w:t>
      </w:r>
    </w:p>
    <w:p>
      <w:pPr>
        <w:pStyle w:val="Normal"/>
        <w:spacing w:lineRule="auto" w:line="240" w:before="0" w:after="20"/>
        <w:rPr/>
      </w:pPr>
      <w:r>
        <w:rPr>
          <w:sz w:val="16"/>
        </w:rPr>
        <w:t>[16] Boskey and Coleman 2010. Bone composition and fragility. https://pmc.ncbi.nlm.nih.gov/articles/PMC3909232/</w:t>
      </w:r>
    </w:p>
    <w:p>
      <w:pPr>
        <w:pStyle w:val="Normal"/>
        <w:spacing w:lineRule="auto" w:line="240" w:before="0" w:after="20"/>
        <w:rPr/>
      </w:pPr>
      <w:r>
        <w:rPr>
          <w:sz w:val="16"/>
        </w:rPr>
        <w:t>[17] Feedipedia. Bone meal datasheet. https://www.feedipedia.org/node/219</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504" w:top="864" w:footer="504"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Gobekli Tepe and the First-Perceived-Wealth Problem | v0.91 human review draft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Gobekli Tepe and the First-Perceived-Wealth Problem | v0.91 human review draft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Liberation Serif" w:hAnsi="Liberation Serif" w:eastAsia="Liberation Serif"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ages>7</Pages>
  <Words>2853</Words>
  <Characters>18310</Characters>
  <CharactersWithSpaces>20986</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en-GB</dc:language>
  <cp:lastModifiedBy/>
  <dcterms:modified xsi:type="dcterms:W3CDTF">2026-05-20T01:40:25Z</dcterms:modified>
  <cp:revision>2</cp:revision>
  <dc:subject>Warning Architecture, Ritual Utility, and Raider-Risk at the Farming Hinge</dc:subject>
  <dc:title>Gobekli Tepe and the First-Perceived-Wealth Problem v0.91</dc:title>
</cp:coreProperties>
</file>

<file path=docProps/custom.xml><?xml version="1.0" encoding="utf-8"?>
<Properties xmlns="http://schemas.openxmlformats.org/officeDocument/2006/custom-properties" xmlns:vt="http://schemas.openxmlformats.org/officeDocument/2006/docPropsVTypes"/>
</file>