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Autosullying</w:t>
      </w:r>
    </w:p>
    <w:p>
      <w:pPr>
        <w:pStyle w:val="Heading1"/>
        <w:jc w:val="center"/>
      </w:pPr>
      <w:r>
        <w:t>Business Incentives, the LLM Anti-Sully Register, and Corpus Re-entry</w:t>
      </w:r>
    </w:p>
    <w:p>
      <w:pPr>
        <w:pStyle w:val="Subtitle"/>
        <w:jc w:val="center"/>
      </w:pPr>
      <w:r>
        <w:t>Working paper v0.1</w:t>
      </w:r>
    </w:p>
    <w:p>
      <w:r>
        <w:t>June 2026</w:t>
      </w:r>
    </w:p>
    <w:p>
      <w:pPr>
        <w:pStyle w:val="SeriesNote"/>
      </w:pPr>
      <w:r>
        <w:t>Series note: this paper is part of a sequence on anti-sully metaphor, object substitution, and institutional routing. It does not argue the drug-law blackmail pipe or the CSAM-adjacency pipe. Those are separate papers. This paper studies a different mechanism: how LLM systems, platform incentives, and automated publishing reward a narrow anti-sully register, then feed that register back into the public text supply.</w:t>
      </w:r>
    </w:p>
    <w:p>
      <w:pPr>
        <w:pStyle w:val="Heading1"/>
      </w:pPr>
      <w:r>
        <w:t>Abstract</w:t>
      </w:r>
    </w:p>
    <w:p>
      <w:r>
        <w:t>This paper proposes autosullying as a feedback loop in which LLM systems overproduce anti-sully metaphor while presenting that register as a marker of trust, safety, and textual quality. We make no settled numeric claim. Current observation suggests a possible 10x to 100x lift against ordinary human and codfish-like baselines, but this remains a hypothesis until tested in larger corpora. The mechanism is upstream: model training, preference scoring, enterprise risk language, search and answer-engine incentives, moderation-adjacent prose, and automated content production all reward a narrow institutional register. At scale, that register enters public text, training corpora, search systems, prompts, examples, documents, and human imitation loops. The model then learns the residue as style and emits more of it.</w:t>
      </w:r>
    </w:p>
    <w:p>
      <w:r>
        <w:t>The irony is structural. Language used to signal non-taint becomes residue. A register built to sound safe, polished, low-risk, and institutionally acceptable becomes the very matter that degrades the language commons. This paper gives definitions, a tentative measurement plan, and an upstream responsibility account. The unit of analysis is not a weak writer choosing weak words. The unit is a production ecology that rewards wrapper density, risk posture, and semantic substitution before the reader ever sees the sentence.</w:t>
      </w:r>
    </w:p>
    <w:p>
      <w:pPr>
        <w:pStyle w:val="Heading1"/>
      </w:pPr>
      <w:r>
        <w:t>1. Problem</w:t>
      </w:r>
    </w:p>
    <w:p>
      <w:r>
        <w:t>Recent LLM output often carries more wrapper than object. It does not merely answer. It wraps the answer in reassurance, polish, balance, safety posture, and institutional self-presentation. The result is not only verbosity. It is a distributional shift in the texture of public English.</w:t>
      </w:r>
    </w:p>
    <w:p>
      <w:r>
        <w:t>This paper names one part of that shift: the anti-sully register. The register marks text, reasoning, systems, or action as free from taint, mess, stain, friction, disorder, danger, or social risk. It is a family of metaphors and prestige terms, not a single word list. In small doses, such language can be ordinary. At industrial scale, it becomes a signal. Readers begin to smell the model before the content arrives.</w:t>
      </w:r>
    </w:p>
    <w:p>
      <w:r>
        <w:t>Autosullying names the loop in which anti-sully language becomes a pollutant by being overproduced as anti-pollution language. The system performs non-taint until the performance itself becomes taint. The output is meant to smell safe. At scale, it smells like machine text.</w:t>
      </w:r>
    </w:p>
    <w:p>
      <w:r>
        <w:t>The paper is deliberately tentative on measurement. It does not assert that all LLMs use the register at one fixed rate, or that all human writing uses it at one fixed rate. It also does not assert that every anti-sully metaphor is harmful. The claim is distributional and ecological: when large text systems reward one register, that register becomes overrepresented in public text, and later systems train on the overrepresentation.</w:t>
      </w:r>
    </w:p>
    <w:p>
      <w:pPr>
        <w:pStyle w:val="Heading1"/>
      </w:pPr>
      <w:r>
        <w:t>2. Why this is upstream</w:t>
      </w:r>
    </w:p>
    <w:p>
      <w:r>
        <w:t>A common response to LLM sludge is style advice. Use more nouns. Use fewer vibes. Edit harder. Ask the model to sound human. That response puts too much burden downstream.</w:t>
      </w:r>
    </w:p>
    <w:p>
      <w:r>
        <w:t>The problem is generated upstream. Several reward systems make the anti-sully register useful before any reader sees it:</w:t>
      </w:r>
    </w:p>
    <w:p>
      <w:pPr>
        <w:pStyle w:val="ManualList"/>
      </w:pPr>
      <w:r>
        <w:rPr>
          <w:b/>
        </w:rPr>
        <w:t xml:space="preserve">1. </w:t>
      </w:r>
      <w:r>
        <w:rPr>
          <w:b/>
        </w:rPr>
        <w:t>Preference scoring.</w:t>
      </w:r>
      <w:r>
        <w:t xml:space="preserve"> If raters tend to prefer answers that sound balanced, careful, polished, and institutionally safe, the model learns the surface as part of "good answer" behaviour.</w:t>
      </w:r>
    </w:p>
    <w:p>
      <w:pPr>
        <w:pStyle w:val="ManualList"/>
      </w:pPr>
      <w:r>
        <w:rPr>
          <w:b/>
        </w:rPr>
        <w:t xml:space="preserve">2. </w:t>
      </w:r>
      <w:r>
        <w:rPr>
          <w:b/>
        </w:rPr>
        <w:t>Enterprise risk language.</w:t>
      </w:r>
      <w:r>
        <w:t xml:space="preserve"> Organisations want outputs that look safe to circulate, safe to store, safe for a manager to approve, and safe to quote in policy or support workflows.</w:t>
      </w:r>
    </w:p>
    <w:p>
      <w:pPr>
        <w:pStyle w:val="ManualList"/>
      </w:pPr>
      <w:r>
        <w:rPr>
          <w:b/>
        </w:rPr>
        <w:t xml:space="preserve">3. </w:t>
      </w:r>
      <w:r>
        <w:rPr>
          <w:b/>
        </w:rPr>
        <w:t>Moderation adjacency.</w:t>
      </w:r>
      <w:r>
        <w:t xml:space="preserve"> Systems trained to avoid hazard often replace object contact with posture language. Refusal, hedging, safety framing, and broad category terms become part of the default answer shape.</w:t>
      </w:r>
    </w:p>
    <w:p>
      <w:pPr>
        <w:pStyle w:val="ManualList"/>
      </w:pPr>
      <w:r>
        <w:rPr>
          <w:b/>
        </w:rPr>
        <w:t xml:space="preserve">4. </w:t>
      </w:r>
      <w:r>
        <w:rPr>
          <w:b/>
        </w:rPr>
        <w:t>Search and answer-engine incentives.</w:t>
      </w:r>
      <w:r>
        <w:t xml:space="preserve"> Website owners now face not only search ranking pressure, but answer-engine visibility pressure. They have reason to write pages that are easy for LLM systems to retrieve, quote, summarise, and trust.</w:t>
      </w:r>
    </w:p>
    <w:p>
      <w:pPr>
        <w:pStyle w:val="ManualList"/>
      </w:pPr>
      <w:r>
        <w:rPr>
          <w:b/>
        </w:rPr>
        <w:t xml:space="preserve">5. </w:t>
      </w:r>
      <w:r>
        <w:rPr>
          <w:b/>
        </w:rPr>
        <w:t>Content automation.</w:t>
      </w:r>
      <w:r>
        <w:t xml:space="preserve"> The cheapest text to scale is generic, low-friction, institution-facing text. That text is not always useless, but it is cheap to generate, cheap to approve, and expensive for the commons to absorb.</w:t>
      </w:r>
    </w:p>
    <w:p>
      <w:pPr>
        <w:pStyle w:val="ManualList"/>
      </w:pPr>
      <w:r>
        <w:rPr>
          <w:b/>
        </w:rPr>
        <w:t xml:space="preserve">6. </w:t>
      </w:r>
      <w:r>
        <w:rPr>
          <w:b/>
        </w:rPr>
        <w:t>Corpus re-entry.</w:t>
      </w:r>
      <w:r>
        <w:t xml:space="preserve"> Public text is not just output. It is future input. Once the register enters websites, abstracts, policy pages, product pages, grant text, documentation, and social posts, it becomes part of the textual world that later systems sample.</w:t>
      </w:r>
    </w:p>
    <w:p>
      <w:r>
        <w:t>The result is an object swap. The desired object is useful content. The proxy object is text that scores as acceptable. Anti-sully metaphor helps that proxy pass.</w:t>
      </w:r>
    </w:p>
    <w:p>
      <w:pPr>
        <w:pStyle w:val="Heading1"/>
      </w:pPr>
      <w:r>
        <w:t>3. Existing evidence and adjacent work</w:t>
      </w:r>
    </w:p>
    <w:p>
      <w:r>
        <w:t>This paper adds a mechanism and a metaphor account to several bodies of evidence.</w:t>
      </w:r>
    </w:p>
    <w:p>
      <w:r>
        <w:t>Kobak and colleagues studied more than 15 million PubMed abstracts and found abrupt post-ChatGPT increases in LLM-favoured style words. Their excess-word method estimated that at least 13.5 percent of 2024 PubMed abstracts had LLM assistance, with variation by subfield and region [1]. This does not prove the anti-sully register by itself, but it shows that LLM style can be detected in public scientific writing at scale.</w:t>
      </w:r>
    </w:p>
    <w:p>
      <w:r>
        <w:t>Juzek and Ward link word overuse to learning from human feedback. Their work suggests that some lexical drift is not only copied from training data. It can be induced by the preference process itself when raters select variants containing certain high-status words [2]. That matters because the autosullying mechanism does not require an accidental bug. It can arise from reward.</w:t>
      </w:r>
    </w:p>
    <w:p>
      <w:r>
        <w:t>Aggarwal and colleagues introduced Generative Engine Optimization, or GEO, as a way for creators to improve visibility in generated answers [3]. Later work argues that GEO creates governance risks, including concentrated influence and undisclosed commercial shaping of answer pipelines [4]. This gives the business-incentive side of the argument: when generated answers become a visibility channel, people will produce text for that channel.</w:t>
      </w:r>
    </w:p>
    <w:p>
      <w:r>
        <w:t>Shumailov and colleagues showed that repeated training on generated content can degrade models through model collapse, especially when generated data accumulates in the training set [5]. Autosullying is narrower than model collapse. It is not mainly a total capability loss claim. It is a register-bias claim: one flavour of prose becomes self-amplifying.</w:t>
      </w:r>
    </w:p>
    <w:p>
      <w:r>
        <w:t>Recent web studies also suggest that LLM-dominant sites are becoming measurable in public crawls and search results [6]. Software-development work frames AI slop as a tragedy of the commons: individual gains in output speed shift review and trust costs to maintainers and communities [7]. The same structure applies to public language. The emitter gets cheap volume. The reader, reviewer, teacher, editor, archivist, and later model bear the cost.</w:t>
      </w:r>
    </w:p>
    <w:p>
      <w:pPr>
        <w:pStyle w:val="Heading1"/>
      </w:pPr>
      <w:r>
        <w:t>4. Definition: the anti-sully register</w:t>
      </w:r>
    </w:p>
    <w:p>
      <w:r>
        <w:t>The anti-sully register is not a topic. It is a style-function family. It uses words, metaphors, and sentence shapes that present an object as washed of risk, ambiguity, offence, friction, or residue. It often appears in these roles:</w:t>
      </w:r>
    </w:p>
    <w:p>
      <w:pPr>
        <w:pStyle w:val="ListBullet"/>
      </w:pPr>
      <w:r>
        <w:t>**Trust display:** the text signals that it is safe to rely on.</w:t>
      </w:r>
    </w:p>
    <w:p>
      <w:pPr>
        <w:pStyle w:val="ListBullet"/>
      </w:pPr>
      <w:r>
        <w:t>**Risk posture:** the text announces its own caution before touching the object.</w:t>
      </w:r>
    </w:p>
    <w:p>
      <w:pPr>
        <w:pStyle w:val="ListBullet"/>
      </w:pPr>
      <w:r>
        <w:t>**Quality theatre:** the text claims or performs finish, polish, or balance.</w:t>
      </w:r>
    </w:p>
    <w:p>
      <w:pPr>
        <w:pStyle w:val="ListBullet"/>
      </w:pPr>
      <w:r>
        <w:t>**Institutional fit:** the sentence sounds ready for policy, HR, procurement, grant review, or help-centre use.</w:t>
      </w:r>
    </w:p>
    <w:p>
      <w:pPr>
        <w:pStyle w:val="ListBullet"/>
      </w:pPr>
      <w:r>
        <w:t>**Substitution:** the wrapper becomes the product, displacing direct object contact.</w:t>
      </w:r>
    </w:p>
    <w:p>
      <w:r>
        <w:t>The register can be useful in small, local, earned cases. The problem is not the existence of anti-sully metaphor. The problem is industrial defaulting: a narrow register becomes the safe template for many unrelated tasks.</w:t>
      </w:r>
    </w:p>
    <w:p>
      <w:pPr>
        <w:pStyle w:val="Heading1"/>
      </w:pPr>
      <w:r>
        <w:t>5. Autosullying</w:t>
      </w:r>
    </w:p>
    <w:p>
      <w:r>
        <w:t>Autosullying has five steps:</w:t>
      </w:r>
    </w:p>
    <w:p>
      <w:r>
        <w:rPr>
          <w:b/>
        </w:rPr>
        <w:t>Step 1: reward.</w:t>
      </w:r>
      <w:r>
        <w:t xml:space="preserve"> Systems, raters, and organisations reward text that sounds safe, polished, neutral, and institutionally acceptable.</w:t>
      </w:r>
    </w:p>
    <w:p>
      <w:r>
        <w:rPr>
          <w:b/>
        </w:rPr>
        <w:t>Step 2: overproduction.</w:t>
      </w:r>
      <w:r>
        <w:t xml:space="preserve"> LLMs emit the rewarded register across many tasks, including tasks where it is not needed.</w:t>
      </w:r>
    </w:p>
    <w:p>
      <w:r>
        <w:rPr>
          <w:b/>
        </w:rPr>
        <w:t>Step 3: saturation.</w:t>
      </w:r>
      <w:r>
        <w:t xml:space="preserve"> Automated and semi-automated writers publish the register at scale across websites, abstracts, policy notes, product pages, support text, and social posts.</w:t>
      </w:r>
    </w:p>
    <w:p>
      <w:r>
        <w:rPr>
          <w:b/>
        </w:rPr>
        <w:t>Step 4: re-entry.</w:t>
      </w:r>
      <w:r>
        <w:t xml:space="preserve"> The published register re-enters training data, fine-tuning data, retrieval corpora, examples, prompts, and human imitation.</w:t>
      </w:r>
    </w:p>
    <w:p>
      <w:r>
        <w:rPr>
          <w:b/>
        </w:rPr>
        <w:t>Step 5: reinforcement.</w:t>
      </w:r>
      <w:r>
        <w:t xml:space="preserve"> Later models and writers learn the register as normal high-quality English and emit more of it.</w:t>
      </w:r>
    </w:p>
    <w:p>
      <w:r>
        <w:t>The loop is high-irony. A style used to indicate non-taint becomes a taint marker. A register used to simulate trust becomes a trust cost. A form used to reduce social risk becomes a source of social risk for any text that smells like it.</w:t>
      </w:r>
    </w:p>
    <w:p>
      <w:pPr>
        <w:pStyle w:val="Heading1"/>
      </w:pPr>
      <w:r>
        <w:t>6. Measurement plan</w:t>
      </w:r>
    </w:p>
    <w:p>
      <w:r>
        <w:t>This paper does not yet make a hard corpus claim. It proposes a measurement plan.</w:t>
      </w:r>
    </w:p>
    <w:p>
      <w:r>
        <w:rPr>
          <w:b/>
        </w:rPr>
        <w:t>Corpus A: LLM output.</w:t>
      </w:r>
      <w:r>
        <w:t xml:space="preserve"> Sample outputs from several major systems across common tasks: summarising, policy advice, product support, academic abstract drafting, legal-adjacent guidance, safety explanation, and general Q&amp;A.</w:t>
      </w:r>
    </w:p>
    <w:p>
      <w:r>
        <w:rPr>
          <w:b/>
        </w:rPr>
        <w:t>Corpus B: ordinary human controls.</w:t>
      </w:r>
      <w:r>
        <w:t xml:space="preserve"> Use dated human text from before mass LLM uptake where possible. Include essays, support emails, school notices, documentation, blog posts, and abstracts.</w:t>
      </w:r>
    </w:p>
    <w:p>
      <w:r>
        <w:rPr>
          <w:b/>
        </w:rPr>
        <w:t>Corpus C: codfish baseline.</w:t>
      </w:r>
      <w:r>
        <w:t xml:space="preserve"> Use deliberately low-style human prose, including plain description, notes, logs, recipes, maintenance text, and field observations. The point is to estimate semantic load without prestige wrapper.</w:t>
      </w:r>
    </w:p>
    <w:p>
      <w:r>
        <w:rPr>
          <w:b/>
        </w:rPr>
        <w:t>Corpus D: live web sample.</w:t>
      </w:r>
      <w:r>
        <w:t xml:space="preserve"> Use a web sample with date, domain type, and publication context. Mark pages likely to be content automation, GEO work, help-centre prose, product pages, or institutional documents.</w:t>
      </w:r>
    </w:p>
    <w:p>
      <w:r>
        <w:t>Metrics:</w:t>
      </w:r>
    </w:p>
    <w:p>
      <w:pPr>
        <w:pStyle w:val="ListBullet"/>
      </w:pPr>
      <w:r>
        <w:t>**Target-family rate:** count anti-sully lexeme families per thousand words.</w:t>
      </w:r>
    </w:p>
    <w:p>
      <w:pPr>
        <w:pStyle w:val="ListBullet"/>
      </w:pPr>
      <w:r>
        <w:t>**Wrapper-to-payload ratio:** estimate how much text performs posture, quality theatre, or safety framing relative to object content.</w:t>
      </w:r>
    </w:p>
    <w:p>
      <w:pPr>
        <w:pStyle w:val="ListBullet"/>
      </w:pPr>
      <w:r>
        <w:t>**Metaphor displacement:** mark cases where anti-sully metaphor replaces a more direct account of the object.</w:t>
      </w:r>
    </w:p>
    <w:p>
      <w:pPr>
        <w:pStyle w:val="ListBullet"/>
      </w:pPr>
      <w:r>
        <w:t>**Role confusion:** mark cases where the text comments on its own reliability instead of showing evidence.</w:t>
      </w:r>
    </w:p>
    <w:p>
      <w:pPr>
        <w:pStyle w:val="ListBullet"/>
      </w:pPr>
      <w:r>
        <w:t>**Repetition signature:** count recurring phrase frames across unrelated tasks.</w:t>
      </w:r>
    </w:p>
    <w:p>
      <w:pPr>
        <w:pStyle w:val="ListBullet"/>
      </w:pPr>
      <w:r>
        <w:t>**Reader detection:** test whether readers identify the register as LLM-like, institutional, evasive, or low-trust.</w:t>
      </w:r>
    </w:p>
    <w:p>
      <w:r>
        <w:t>The tentative expectation is a large effect, possibly 10x to 100x against some baselines. That range is not a result. It is a scouting estimate. The right output for a first study is a range with error bars and failure cases, not false precision.</w:t>
      </w:r>
    </w:p>
    <w:p>
      <w:pPr>
        <w:pStyle w:val="Heading1"/>
      </w:pPr>
      <w:r>
        <w:t>7. Business incentives</w:t>
      </w:r>
    </w:p>
    <w:p>
      <w:r>
        <w:t>Autosullying is not only a language bug. It is an incentive alignment between model vendors, enterprise buyers, content operators, and platforms.</w:t>
      </w:r>
    </w:p>
    <w:p>
      <w:r>
        <w:rPr>
          <w:b/>
        </w:rPr>
        <w:t>Model vendors</w:t>
      </w:r>
      <w:r>
        <w:t xml:space="preserve"> want defaults that reduce reputational incidents. The anti-sully register helps avoid sharp edges by wrapping objects in generalities.</w:t>
      </w:r>
    </w:p>
    <w:p>
      <w:r>
        <w:rPr>
          <w:b/>
        </w:rPr>
        <w:t>Enterprise buyers</w:t>
      </w:r>
      <w:r>
        <w:t xml:space="preserve"> want prose that can pass review, be forwarded, be stored, and be reused across contexts. A blandly acceptable style is attractive even when it weakens meaning.</w:t>
      </w:r>
    </w:p>
    <w:p>
      <w:r>
        <w:rPr>
          <w:b/>
        </w:rPr>
        <w:t>Content operators</w:t>
      </w:r>
      <w:r>
        <w:t xml:space="preserve"> want cheap pages that rank, get cited, answer likely queries, and satisfy platform filters. Anti-sully language offers a low-cost aura of trust.</w:t>
      </w:r>
    </w:p>
    <w:p>
      <w:r>
        <w:rPr>
          <w:b/>
        </w:rPr>
        <w:t>Answer engines</w:t>
      </w:r>
      <w:r>
        <w:t xml:space="preserve"> reward source text that is easy to ingest, summarise, and present as reliable. GEO turns generated-answer visibility into an optimisation target.</w:t>
      </w:r>
    </w:p>
    <w:p>
      <w:r>
        <w:rPr>
          <w:b/>
        </w:rPr>
        <w:t>Platform moderators and risk teams</w:t>
      </w:r>
      <w:r>
        <w:t xml:space="preserve"> often prefer broad wording because it is scalable. Broad wording then leaks into user-facing assistant style.</w:t>
      </w:r>
    </w:p>
    <w:p>
      <w:r>
        <w:rPr>
          <w:b/>
        </w:rPr>
        <w:t>Human imitators</w:t>
      </w:r>
      <w:r>
        <w:t xml:space="preserve"> learn what seems to win. Students, workers, academics, and marketers copy the model voice because it appears to pass institutional gates.</w:t>
      </w:r>
    </w:p>
    <w:p>
      <w:r>
        <w:t>These incentives are not identical, but they point in the same direction: produce text that carries low visible risk and high approval scent. That is how the anti-sully register spreads.</w:t>
      </w:r>
    </w:p>
    <w:p>
      <w:pPr>
        <w:pStyle w:val="Heading1"/>
      </w:pPr>
      <w:r>
        <w:t>8. Why user-side advice is insufficient</w:t>
      </w:r>
    </w:p>
    <w:p>
      <w:r>
        <w:t>Readers can learn to spot LLM sludge. Writers can edit it out. Prompt engineers can ask for more direct prose. These are useful local practices.</w:t>
      </w:r>
    </w:p>
    <w:p>
      <w:r>
        <w:t>They are not sufficient. They address the sentence after production. The larger problem is that production itself has been tuned to emit the register. A downstream editor cannot counteract a public web being filled with the same style by millions of automated pages, documents, and answers.</w:t>
      </w:r>
    </w:p>
    <w:p>
      <w:r>
        <w:t>The proper target is producer responsibility:</w:t>
      </w:r>
    </w:p>
    <w:p>
      <w:pPr>
        <w:pStyle w:val="ListBullet"/>
      </w:pPr>
      <w:r>
        <w:t>disclose synthetic or heavily assisted text where stakes require it;</w:t>
      </w:r>
    </w:p>
    <w:p>
      <w:pPr>
        <w:pStyle w:val="ListBullet"/>
      </w:pPr>
      <w:r>
        <w:t>preserve human-authored corpora for future training and study;</w:t>
      </w:r>
    </w:p>
    <w:p>
      <w:pPr>
        <w:pStyle w:val="ListBullet"/>
      </w:pPr>
      <w:r>
        <w:t>measure register drift in model outputs;</w:t>
      </w:r>
    </w:p>
    <w:p>
      <w:pPr>
        <w:pStyle w:val="ListBullet"/>
      </w:pPr>
      <w:r>
        <w:t>penalise wrapper density in model evaluation;</w:t>
      </w:r>
    </w:p>
    <w:p>
      <w:pPr>
        <w:pStyle w:val="ListBullet"/>
      </w:pPr>
      <w:r>
        <w:t>audit preference tasks for lexical drift;</w:t>
      </w:r>
    </w:p>
    <w:p>
      <w:pPr>
        <w:pStyle w:val="ListBullet"/>
      </w:pPr>
      <w:r>
        <w:t>keep training mixtures from treating high-volume synthetic text as ordinary human distribution;</w:t>
      </w:r>
    </w:p>
    <w:p>
      <w:pPr>
        <w:pStyle w:val="ListBullet"/>
      </w:pPr>
      <w:r>
        <w:t>build answer-engine audits that detect GEO-driven phrase capture;</w:t>
      </w:r>
    </w:p>
    <w:p>
      <w:pPr>
        <w:pStyle w:val="ListBullet"/>
      </w:pPr>
      <w:r>
        <w:t>favour source-specific evidence over generic trust posture.</w:t>
      </w:r>
    </w:p>
    <w:p>
      <w:r>
        <w:t>The aim is not to ban style. The aim is to stop scale systems from turning one safety-flavoured register into default English.</w:t>
      </w:r>
    </w:p>
    <w:p>
      <w:pPr>
        <w:pStyle w:val="Heading1"/>
      </w:pPr>
      <w:r>
        <w:t>9. Objections</w:t>
      </w:r>
    </w:p>
    <w:p>
      <w:r>
        <w:rPr>
          <w:b/>
        </w:rPr>
        <w:t>Objection: all style changes over time.</w:t>
      </w:r>
      <w:r/>
    </w:p>
    <w:p>
      <w:r>
        <w:t>Yes. The issue is not change. It is industrial speed, volume, incentive alignment, and corpus re-entry. A style shift made by millions of people over decades is not the same as one emitted by a handful of model families across billions of texts.</w:t>
      </w:r>
    </w:p>
    <w:p>
      <w:r>
        <w:rPr>
          <w:b/>
        </w:rPr>
        <w:t>Objection: anti-sully wording can be good.</w:t>
      </w:r>
      <w:r/>
    </w:p>
    <w:p>
      <w:r>
        <w:t>Yes. The claim is not that every instance is bad. The claim is that overproduction devalues the signal and displaces object contact.</w:t>
      </w:r>
    </w:p>
    <w:p>
      <w:r>
        <w:rPr>
          <w:b/>
        </w:rPr>
        <w:t>Objection: synthetic data can help.</w:t>
      </w:r>
      <w:r/>
    </w:p>
    <w:p>
      <w:r>
        <w:t>Yes. Task-specific, checked, diverse synthetic data can be useful. The worry is not all synthetic data. The worry is unmarked, high-volume, self-similar public text being treated as ordinary human distribution.</w:t>
      </w:r>
    </w:p>
    <w:p>
      <w:r>
        <w:rPr>
          <w:b/>
        </w:rPr>
        <w:t>Objection: readers can adapt.</w:t>
      </w:r>
      <w:r/>
    </w:p>
    <w:p>
      <w:r>
        <w:t>They can, but adaptation has a cost. If every reader must spend more effort separating payload from wrapper, the cost has been shifted downstream.</w:t>
      </w:r>
    </w:p>
    <w:p>
      <w:r>
        <w:rPr>
          <w:b/>
        </w:rPr>
        <w:t>Objection: the metaphor frame is too literary.</w:t>
      </w:r>
      <w:r/>
    </w:p>
    <w:p>
      <w:r>
        <w:t>The metaphor is not ornamental. It names a measurable register family and a feedback loop. The study can count words, rate sentences, test reader response, and trace publication incentives.</w:t>
      </w:r>
    </w:p>
    <w:p>
      <w:pPr>
        <w:pStyle w:val="Heading1"/>
      </w:pPr>
      <w:r>
        <w:t>10. Contribution</w:t>
      </w:r>
    </w:p>
    <w:p>
      <w:r>
        <w:t>This paper contributes four things.</w:t>
      </w:r>
    </w:p>
    <w:p>
      <w:r>
        <w:t>First, it names the anti-sully register as a style-function family rather than a list of annoying words.</w:t>
      </w:r>
    </w:p>
    <w:p>
      <w:r>
        <w:t>Second, it defines autosullying as a recursive loop: anti-sully output becomes public residue, then returns as input.</w:t>
      </w:r>
    </w:p>
    <w:p>
      <w:r>
        <w:t>Third, it moves responsibility upstream, from user editing habits to the reward systems and business incentives that generate the register.</w:t>
      </w:r>
    </w:p>
    <w:p>
      <w:r>
        <w:t>Fourth, it gives a tentative measurement plan that can be run against LLM outputs, pre-LLM human controls, codfish baselines, and live web corpora.</w:t>
      </w:r>
    </w:p>
    <w:p>
      <w:r>
        <w:t>The paper's central claim is simple: language that performs non-taint can become taint when scaled, rewarded, and re-ingested. The fix is not synonym swapping. The fix is changing what the system rewards, what publishers flood, what evaluators score, and what training pipelines treat as human distribution.</w:t>
      </w:r>
    </w:p>
    <w:p>
      <w:pPr>
        <w:pStyle w:val="Heading1"/>
      </w:pPr>
      <w:r>
        <w:t>11. Policy and design recommendations</w:t>
      </w:r>
    </w:p>
    <w:p>
      <w:pPr>
        <w:pStyle w:val="ManualList"/>
      </w:pPr>
      <w:r>
        <w:rPr>
          <w:b/>
        </w:rPr>
        <w:t xml:space="preserve">1. </w:t>
      </w:r>
      <w:r>
        <w:rPr>
          <w:b/>
        </w:rPr>
        <w:t>Register audits for model releases.</w:t>
      </w:r>
      <w:r>
        <w:t xml:space="preserve"> Model cards and evaluation reports should include drift tests for lexical overuse, wrapper density, and self-similar phrase frames.</w:t>
      </w:r>
    </w:p>
    <w:p>
      <w:pPr>
        <w:pStyle w:val="ManualList"/>
      </w:pPr>
      <w:r>
        <w:rPr>
          <w:b/>
        </w:rPr>
        <w:t xml:space="preserve">2. </w:t>
      </w:r>
      <w:r>
        <w:rPr>
          <w:b/>
        </w:rPr>
        <w:t>Preference-task audits.</w:t>
      </w:r>
      <w:r>
        <w:t xml:space="preserve"> Human feedback tasks should test whether raters are systematically selecting certain prestige terms or anti-sully frames.</w:t>
      </w:r>
    </w:p>
    <w:p>
      <w:pPr>
        <w:pStyle w:val="ManualList"/>
      </w:pPr>
      <w:r>
        <w:rPr>
          <w:b/>
        </w:rPr>
        <w:t xml:space="preserve">3. </w:t>
      </w:r>
      <w:r>
        <w:rPr>
          <w:b/>
        </w:rPr>
        <w:t>Corpus provenance.</w:t>
      </w:r>
      <w:r>
        <w:t xml:space="preserve"> Data pipelines should distinguish human, synthetic, heavily assisted, templated, translated, and machine-edited text where possible.</w:t>
      </w:r>
    </w:p>
    <w:p>
      <w:pPr>
        <w:pStyle w:val="ManualList"/>
      </w:pPr>
      <w:r>
        <w:rPr>
          <w:b/>
        </w:rPr>
        <w:t xml:space="preserve">4. </w:t>
      </w:r>
      <w:r>
        <w:rPr>
          <w:b/>
        </w:rPr>
        <w:t>GEO disclosure.</w:t>
      </w:r>
      <w:r>
        <w:t xml:space="preserve"> Answer engines and content platforms should develop disclosure norms for content built mainly to influence generated answers.</w:t>
      </w:r>
    </w:p>
    <w:p>
      <w:pPr>
        <w:pStyle w:val="ManualList"/>
      </w:pPr>
      <w:r>
        <w:rPr>
          <w:b/>
        </w:rPr>
        <w:t xml:space="preserve">5. </w:t>
      </w:r>
      <w:r>
        <w:rPr>
          <w:b/>
        </w:rPr>
        <w:t>Human baseline preservation.</w:t>
      </w:r>
      <w:r>
        <w:t xml:space="preserve"> Pre-LLM and low-automation corpora should be preserved for linguistic study and model comparison.</w:t>
      </w:r>
    </w:p>
    <w:p>
      <w:pPr>
        <w:pStyle w:val="ManualList"/>
      </w:pPr>
      <w:r>
        <w:rPr>
          <w:b/>
        </w:rPr>
        <w:t xml:space="preserve">6. </w:t>
      </w:r>
      <w:r>
        <w:rPr>
          <w:b/>
        </w:rPr>
        <w:t>Payload-weighted evaluation.</w:t>
      </w:r>
      <w:r>
        <w:t xml:space="preserve"> Model evaluation should reward object contact, evidence, and role separation rather than generic trust posture.</w:t>
      </w:r>
    </w:p>
    <w:p>
      <w:pPr>
        <w:pStyle w:val="ManualList"/>
      </w:pPr>
      <w:r>
        <w:rPr>
          <w:b/>
        </w:rPr>
        <w:t xml:space="preserve">7. </w:t>
      </w:r>
      <w:r>
        <w:rPr>
          <w:b/>
        </w:rPr>
        <w:t>Commons accounting.</w:t>
      </w:r>
      <w:r>
        <w:t xml:space="preserve"> Institutions using AI text at scale should account for review burden, downstream distrust, and training-pool pollution as externalised costs.</w:t>
      </w:r>
    </w:p>
    <w:p>
      <w:pPr>
        <w:pStyle w:val="Heading1"/>
      </w:pPr>
      <w:r>
        <w:t>12. Conclusion</w:t>
      </w:r>
    </w:p>
    <w:p>
      <w:r>
        <w:t>Autosullying is a high-irony feedback loop. LLM systems and the businesses around them overproduce a register that signals safety, polish, and institutional acceptability. The register then marks the text as synthetic, reduces trust, fills the web, and returns to later systems as training or imitation material.</w:t>
      </w:r>
    </w:p>
    <w:p>
      <w:r>
        <w:t>The numbers can stay soft for now. The mechanism can be hard. Reward a register, scale it, publish it, crawl it, train on it, and it returns stronger.</w:t>
      </w:r>
    </w:p>
    <w:p>
      <w:r>
        <w:t>The language commons does not degrade only through error. It can also degrade through mass production of acceptable-sounding residue.</w:t>
      </w:r>
    </w:p>
    <w:p>
      <w:pPr>
        <w:pStyle w:val="Heading1"/>
      </w:pPr>
      <w:r>
        <w:t>References</w:t>
      </w:r>
    </w:p>
    <w:p>
      <w:pPr>
        <w:pStyle w:val="References"/>
      </w:pPr>
      <w:r>
        <w:t xml:space="preserve">[1] Kobak, D., et al. 2025. "Delving into LLM-assisted writing in biomedical publications through excess vocabulary." Science Advances. </w:t>
      </w:r>
      <w:hyperlink r:id="rId9">
        <w:r>
          <w:rPr>
            <w:color w:val="0563C1"/>
            <w:u w:val="single"/>
          </w:rPr>
          <w:t>https://www.science.org/doi/10.1126/sciadv.adt3813</w:t>
        </w:r>
      </w:hyperlink>
    </w:p>
    <w:p>
      <w:pPr>
        <w:pStyle w:val="References"/>
      </w:pPr>
      <w:r>
        <w:t xml:space="preserve">[2] Juzek, T. S., and Ward, Z. B. 2025. "Word Overuse and Alignment in Large Language Models: The Influence of Learning from Human Feedback." arXiv:2508.01930. </w:t>
      </w:r>
      <w:hyperlink r:id="rId10">
        <w:r>
          <w:rPr>
            <w:color w:val="0563C1"/>
            <w:u w:val="single"/>
          </w:rPr>
          <w:t>https://arxiv.org/abs/2508.01930</w:t>
        </w:r>
      </w:hyperlink>
    </w:p>
    <w:p>
      <w:pPr>
        <w:pStyle w:val="References"/>
      </w:pPr>
      <w:r>
        <w:t xml:space="preserve">[3] Aggarwal, P., Murahari, V., Rajpurohit, T., Kalyan, A., Narasimhan, K., and Deshpande, A. 2023. "GEO: Generative Engine Optimization." arXiv:2311.09735. </w:t>
      </w:r>
      <w:hyperlink r:id="rId11">
        <w:r>
          <w:rPr>
            <w:color w:val="0563C1"/>
            <w:u w:val="single"/>
          </w:rPr>
          <w:t>https://arxiv.org/abs/2311.09735</w:t>
        </w:r>
      </w:hyperlink>
    </w:p>
    <w:p>
      <w:pPr>
        <w:pStyle w:val="References"/>
      </w:pPr>
      <w:r>
        <w:t xml:space="preserve">[4] Wen, Y., Zhang, N., Yuan, H., Chen, X., Zhang, H., and Guo, H. 2026. "Position: Generative Engine Optimization Creates Underexamined Risks, Governance Must Target Concentration, Disclosure, and Academic Blind Spots." arXiv:2606.12439. </w:t>
      </w:r>
      <w:hyperlink r:id="rId12">
        <w:r>
          <w:rPr>
            <w:color w:val="0563C1"/>
            <w:u w:val="single"/>
          </w:rPr>
          <w:t>https://arxiv.org/abs/2606.12439</w:t>
        </w:r>
      </w:hyperlink>
    </w:p>
    <w:p>
      <w:pPr>
        <w:pStyle w:val="References"/>
      </w:pPr>
      <w:r>
        <w:t xml:space="preserve">[5] Shumailov, I., et al. 2024. "AI models collapse when trained on recursively generated data." Nature 631, 755-759. </w:t>
      </w:r>
      <w:hyperlink r:id="rId13">
        <w:r>
          <w:rPr>
            <w:color w:val="0563C1"/>
            <w:u w:val="single"/>
          </w:rPr>
          <w:t>https://www.nature.com/articles/s41586-024-07566-y</w:t>
        </w:r>
      </w:hyperlink>
    </w:p>
    <w:p>
      <w:pPr>
        <w:pStyle w:val="References"/>
      </w:pPr>
      <w:r>
        <w:t xml:space="preserve">[6] He, S. S., Ardi, C., Govindan, R., and Madhyastha, H. V. 2026. "DeGenTWeb: A First Look at LLM-dominant Websites." arXiv:2605.00087. </w:t>
      </w:r>
      <w:hyperlink r:id="rId14">
        <w:r>
          <w:rPr>
            <w:color w:val="0563C1"/>
            <w:u w:val="single"/>
          </w:rPr>
          <w:t>https://arxiv.org/abs/2605.00087</w:t>
        </w:r>
      </w:hyperlink>
    </w:p>
    <w:p>
      <w:pPr>
        <w:pStyle w:val="References"/>
      </w:pPr>
      <w:r>
        <w:t xml:space="preserve">[7] Baltes, S., Cheong, M., and Treude, C. 2026. "'An Endless Stream of AI Slop': The Growing Burden of AI-Assisted Software Development." arXiv:2603.27249. </w:t>
      </w:r>
      <w:hyperlink r:id="rId15">
        <w:r>
          <w:rPr>
            <w:color w:val="0563C1"/>
            <w:u w:val="single"/>
          </w:rPr>
          <w:t>https://arxiv.org/abs/2603.27249</w:t>
        </w:r>
      </w:hyperlink>
    </w:p>
    <w:p>
      <w:pPr>
        <w:pStyle w:val="References"/>
      </w:pPr>
      <w:r>
        <w:t xml:space="preserve">[8] Baack, S. 2024. "A Critical Analysis of the Largest Source for Generative AI Training Data: Common Crawl." FAccT 2024. </w:t>
      </w:r>
      <w:hyperlink r:id="rId16">
        <w:r>
          <w:rPr>
            <w:color w:val="0563C1"/>
            <w:u w:val="single"/>
          </w:rPr>
          <w:t>https://facctconference.org/static/papers24/facct24-148.pdf</w:t>
        </w:r>
      </w:hyperlink>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52" w:lineRule="auto"/>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60" w:line="252" w:lineRule="auto"/>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52" w:lineRule="auto" w:before="0"/>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2" w:lineRule="auto"/>
    </w:pPr>
    <w:rPr>
      <w:rFonts w:asciiTheme="majorHAnsi" w:eastAsiaTheme="majorEastAsia" w:hAnsiTheme="majorHAnsi" w:cstheme="majorBidi" w:ascii="Aptos" w:hAnsi="Aptos" w:eastAsia="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riesNote">
    <w:name w:val="Series Note"/>
    <w:basedOn w:val="Normal"/>
    <w:pPr>
      <w:spacing w:before="0" w:after="160" w:line="252" w:lineRule="auto"/>
    </w:pPr>
    <w:rPr>
      <w:i/>
      <w:sz w:val="19"/>
    </w:rPr>
  </w:style>
  <w:style w:type="paragraph" w:customStyle="1" w:styleId="References">
    <w:name w:val="References"/>
    <w:basedOn w:val="Normal"/>
    <w:pPr>
      <w:spacing w:before="0" w:after="60" w:line="240" w:lineRule="auto"/>
    </w:pPr>
    <w:rPr>
      <w:sz w:val="18"/>
    </w:rPr>
  </w:style>
  <w:style w:type="paragraph" w:customStyle="1" w:styleId="ManualList">
    <w:name w:val="Manual List"/>
    <w:basedOn w:val="Normal"/>
    <w:pPr>
      <w:spacing w:before="0" w:after="60" w:line="252" w:lineRule="auto"/>
      <w:ind w:left="288" w:hanging="288"/>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org/doi/10.1126/sciadv.adt3813" TargetMode="External"/><Relationship Id="rId10" Type="http://schemas.openxmlformats.org/officeDocument/2006/relationships/hyperlink" Target="https://arxiv.org/abs/2508.01930" TargetMode="External"/><Relationship Id="rId11" Type="http://schemas.openxmlformats.org/officeDocument/2006/relationships/hyperlink" Target="https://arxiv.org/abs/2311.09735" TargetMode="External"/><Relationship Id="rId12" Type="http://schemas.openxmlformats.org/officeDocument/2006/relationships/hyperlink" Target="https://arxiv.org/abs/2606.12439" TargetMode="External"/><Relationship Id="rId13" Type="http://schemas.openxmlformats.org/officeDocument/2006/relationships/hyperlink" Target="https://www.nature.com/articles/s41586-024-07566-y" TargetMode="External"/><Relationship Id="rId14" Type="http://schemas.openxmlformats.org/officeDocument/2006/relationships/hyperlink" Target="https://arxiv.org/abs/2605.00087" TargetMode="External"/><Relationship Id="rId15" Type="http://schemas.openxmlformats.org/officeDocument/2006/relationships/hyperlink" Target="https://arxiv.org/abs/2603.27249" TargetMode="External"/><Relationship Id="rId16" Type="http://schemas.openxmlformats.org/officeDocument/2006/relationships/hyperlink" Target="https://facctconference.org/static/papers24/facct24-14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Autosullying</dc:title>
  <dc:subject>LLM anti-sully register and corpus re-entry</dc:subject>
  <dc:creator/>
  <cp:keywords>LLM, autosullying, anti-sully, corpus, GEO</cp:keywords>
  <dc:description/>
  <cp:lastModifiedBy/>
  <cp:revision>1</cp:revision>
  <dcterms:created xsi:type="dcterms:W3CDTF">2013-12-23T23:15:00Z</dcterms:created>
  <dcterms:modified xsi:type="dcterms:W3CDTF">2013-12-23T23:15:00Z</dcterms:modified>
  <cp:category/>
</cp:coreProperties>
</file>