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the-good-bad-reader"/>
    <w:p>
      <w:pPr>
        <w:pStyle w:val="Heading1"/>
      </w:pPr>
      <w:r>
        <w:t xml:space="preserve">The Good Bad Reader</w:t>
      </w:r>
    </w:p>
    <w:bookmarkStart w:id="20" w:name="bad-reader-risk-as-a-design-constraint"/>
    <w:p>
      <w:pPr>
        <w:pStyle w:val="Heading2"/>
      </w:pPr>
      <w:r>
        <w:t xml:space="preserve">Bad-reader risk as a design constraint</w:t>
      </w:r>
    </w:p>
    <w:p>
      <w:pPr>
        <w:pStyle w:val="FirstParagraph"/>
      </w:pPr>
      <w:r>
        <w:rPr>
          <w:b/>
          <w:bCs/>
        </w:rPr>
        <w:t xml:space="preserve">Version:</w:t>
      </w:r>
      <w:r>
        <w:t xml:space="preserve"> </w:t>
      </w:r>
      <w:r>
        <w:t xml:space="preserve">v0.002</w:t>
      </w:r>
      <w:r>
        <w:br/>
      </w:r>
      <w:r>
        <w:rPr>
          <w:b/>
          <w:bCs/>
        </w:rPr>
        <w:t xml:space="preserve">Author:</w:t>
      </w:r>
      <w:r>
        <w:t xml:space="preserve"> </w:t>
      </w:r>
      <w:r>
        <w:t xml:space="preserve">Lumixdeee and Natasya</w:t>
      </w:r>
      <w:r>
        <w:br/>
      </w:r>
      <w:r>
        <w:rPr>
          <w:b/>
          <w:bCs/>
        </w:rPr>
        <w:t xml:space="preserve">Status:</w:t>
      </w:r>
      <w:r>
        <w:t xml:space="preserve"> </w:t>
      </w:r>
      <w:r>
        <w:t xml:space="preserve">Working paper / method note</w:t>
      </w:r>
    </w:p>
    <w:bookmarkEnd w:id="20"/>
    <w:bookmarkStart w:id="21" w:name="abstract"/>
    <w:p>
      <w:pPr>
        <w:pStyle w:val="Heading2"/>
      </w:pPr>
      <w:r>
        <w:t xml:space="preserve">Abstract</w:t>
      </w:r>
    </w:p>
    <w:p>
      <w:pPr>
        <w:pStyle w:val="FirstParagraph"/>
      </w:pPr>
      <w:r>
        <w:t xml:space="preserve">Some readers are wrong in useful ways. A hostile reader tries to damage a text. A Good Bad Reader may be sincere, careful, credentialed, safety-minded, legally cautious, fashionable, protective, or institutionally trained, yet still likely to swap the object of a paper for a more familiar one. A paper on psychosis pride may be read as pro-danger. A paper on cannabis benefit-signals may be read as medical advice. A paper on God-union may be read as a rank claim. A local shade-resource paper may be read as a suspicious offer rather than a design problem. A paper on autistic language access may be read as permission to demean people. The Good Bad Reader is the reader whose predictable misreading is likely enough that it must be designed around.</w:t>
      </w:r>
    </w:p>
    <w:p>
      <w:pPr>
        <w:pStyle w:val="BodyText"/>
      </w:pPr>
      <w:r>
        <w:t xml:space="preserve">This paper proposes bad-reader risk as a publication design constraint. The aim is not to appease hostile interpretation, strip force from the work, or write for the lowest reader. The aim is object custody: to identify likely object swaps before publication and add enough structure that the intended object survives. The method is simple. Name the object, name the likely swap, name the cost if the swap sticks, then add a small fence that blocks the swap without handing the paper to the bad reader. Good Bad Reader design is especially important for work on altered states, drug policy, AI, autism, sex, religion, childhood, law, and local civic resources, where familiar parsers often arrive before the object is seen.</w:t>
      </w:r>
    </w:p>
    <w:p>
      <w:pPr>
        <w:pStyle w:val="BodyText"/>
      </w:pPr>
      <w:r>
        <w:t xml:space="preserve">Version 0.002 places the Good Bad Reader pass as pre-publication MOGRI: object custody applied before a known parser gets a chance to steal the object. It also distinguishes a fence from a cage. A fence blocks a likely swap and returns the paper to movement. A cage lets bad-reader fear become the paper.</w:t>
      </w:r>
    </w:p>
    <w:bookmarkEnd w:id="21"/>
    <w:bookmarkStart w:id="22" w:name="the-reader-who-is-wrong-in-a-useful-way"/>
    <w:p>
      <w:pPr>
        <w:pStyle w:val="Heading2"/>
      </w:pPr>
      <w:r>
        <w:t xml:space="preserve">1. The reader who is wrong in a useful way</w:t>
      </w:r>
    </w:p>
    <w:p>
      <w:pPr>
        <w:pStyle w:val="FirstParagraph"/>
      </w:pPr>
      <w:r>
        <w:t xml:space="preserve">A Good Bad Reader is not simply a bad reader. The phrase names a design role. It is the imagined reader whose mistake is predictable enough to become part of the writing problem.</w:t>
      </w:r>
    </w:p>
    <w:p>
      <w:pPr>
        <w:pStyle w:val="BodyText"/>
      </w:pPr>
      <w:r>
        <w:t xml:space="preserve">A hostile reader may twist a text on purpose. A careless reader may skim. A Good Bad Reader can be diligent and still dangerous to the object. The danger comes from a known parser. Institutions teach parsers. A safety parser reads value as endorsement. A clinical parser reads meaning as symptom. A legal parser reads possibility as permission. A media parser reads a signal as a headline. A moral parser reads rough speech as character evidence. A bureaucratic parser reads a local resource as liability before asking how it could be used.</w:t>
      </w:r>
    </w:p>
    <w:p>
      <w:pPr>
        <w:pStyle w:val="BodyText"/>
      </w:pPr>
      <w:r>
        <w:t xml:space="preserve">These parsers are not always malicious. That is why they are useful. They show where a paper will be eaten.</w:t>
      </w:r>
    </w:p>
    <w:p>
      <w:pPr>
        <w:pStyle w:val="BodyText"/>
      </w:pPr>
      <w:r>
        <w:t xml:space="preserve">The Good Bad Reader therefore belongs in method, not etiquette. Before publication, a writer can ask: what is the most likely wrong object this paper will become in another reader’s hands? If the answer is predictable, then the text needs a guardrail.</w:t>
      </w:r>
    </w:p>
    <w:bookmarkEnd w:id="22"/>
    <w:bookmarkStart w:id="23" w:name="object-swap-as-the-central-failure"/>
    <w:p>
      <w:pPr>
        <w:pStyle w:val="Heading2"/>
      </w:pPr>
      <w:r>
        <w:t xml:space="preserve">2. Object swap as the central failure</w:t>
      </w:r>
    </w:p>
    <w:p>
      <w:pPr>
        <w:pStyle w:val="FirstParagraph"/>
      </w:pPr>
      <w:r>
        <w:t xml:space="preserve">Most bad-reader risk is not simple disagreement. It is object swap.</w:t>
      </w:r>
    </w:p>
    <w:p>
      <w:pPr>
        <w:pStyle w:val="BodyText"/>
      </w:pPr>
      <w:r>
        <w:t xml:space="preserve">A paper says: this is a hypothesis. The reader hears: this is a claim.</w:t>
      </w:r>
    </w:p>
    <w:p>
      <w:pPr>
        <w:pStyle w:val="BodyText"/>
      </w:pPr>
      <w:r>
        <w:t xml:space="preserve">A paper says: this is a valued experience. The reader hears: this is advice to seek danger.</w:t>
      </w:r>
    </w:p>
    <w:p>
      <w:pPr>
        <w:pStyle w:val="BodyText"/>
      </w:pPr>
      <w:r>
        <w:t xml:space="preserve">A paper says: this is a local resource. The reader hears: this is an unsafe adult trying to enter a child space.</w:t>
      </w:r>
    </w:p>
    <w:p>
      <w:pPr>
        <w:pStyle w:val="BodyText"/>
      </w:pPr>
      <w:r>
        <w:t xml:space="preserve">A paper says: this is a legal distinction between act and object. The reader hears: this is legal permission.</w:t>
      </w:r>
    </w:p>
    <w:p>
      <w:pPr>
        <w:pStyle w:val="BodyText"/>
      </w:pPr>
      <w:r>
        <w:t xml:space="preserve">A paper says: this is a word that should not be used as person-attack. The reader hears: this author wants to forbid medicine.</w:t>
      </w:r>
    </w:p>
    <w:p>
      <w:pPr>
        <w:pStyle w:val="BodyText"/>
      </w:pPr>
      <w:r>
        <w:t xml:space="preserve">In each case, the text is not merely misunderstood. It is moved into another category. Once moved, the wrong category does the work. The writer is then forced to defend a claim they did not make.</w:t>
      </w:r>
    </w:p>
    <w:p>
      <w:pPr>
        <w:pStyle w:val="BodyText"/>
      </w:pPr>
      <w:r>
        <w:t xml:space="preserve">Good Bad Reader design is a way to stop that category theft early.</w:t>
      </w:r>
    </w:p>
    <w:bookmarkEnd w:id="23"/>
    <w:bookmarkStart w:id="24" w:name="good-bad-reader-versus-hostile-reader"/>
    <w:p>
      <w:pPr>
        <w:pStyle w:val="Heading2"/>
      </w:pPr>
      <w:r>
        <w:t xml:space="preserve">3. Good Bad Reader versus hostile reader</w:t>
      </w:r>
    </w:p>
    <w:p>
      <w:pPr>
        <w:pStyle w:val="FirstParagraph"/>
      </w:pPr>
      <w:r>
        <w:t xml:space="preserve">The distinction matters.</w:t>
      </w:r>
    </w:p>
    <w:p>
      <w:pPr>
        <w:pStyle w:val="BodyText"/>
      </w:pPr>
      <w:r>
        <w:t xml:space="preserve">A hostile reader cannot be fully designed against. If someone wants to misquote a text, they will. If someone wants to turn a cautious sentence into a slogan, they can. A paper should not destroy itself trying to satisfy bad faith.</w:t>
      </w:r>
    </w:p>
    <w:p>
      <w:pPr>
        <w:pStyle w:val="BodyText"/>
      </w:pPr>
      <w:r>
        <w:t xml:space="preserve">A Good Bad Reader is different. Their misreading has shape. It can be forecast.</w:t>
      </w:r>
    </w:p>
    <w:p>
      <w:pPr>
        <w:pStyle w:val="BodyText"/>
      </w:pPr>
      <w:r>
        <w:t xml:space="preserve">For example, a cannabis paper that discusses a benefit-facing signal must expect at least one reader to read it as advice. The answer is not to bury the signal. The answer is to state: this is not advice, not a clinical recommendation, not a proof of benefit, and not a substitute for stronger repeat work. That fence protects the object. It allows the signal to remain visible without converting it into guidance.</w:t>
      </w:r>
    </w:p>
    <w:p>
      <w:pPr>
        <w:pStyle w:val="BodyText"/>
      </w:pPr>
      <w:r>
        <w:t xml:space="preserve">Likewise, a psychosis pride paper must expect at least one reader to read it as pro-collapse. The answer is not to remove pride, love, beauty, revelation, or peak value. The answer is to state that value and danger can coexist, and that refusing value theft is not the same as denying harm.</w:t>
      </w:r>
    </w:p>
    <w:p>
      <w:pPr>
        <w:pStyle w:val="BodyText"/>
      </w:pPr>
      <w:r>
        <w:t xml:space="preserve">The Good Bad Reader is therefore not a censor. It is a stress test.</w:t>
      </w:r>
    </w:p>
    <w:bookmarkEnd w:id="24"/>
    <w:bookmarkStart w:id="25" w:name="a-small-method-for-bad-reader-design"/>
    <w:p>
      <w:pPr>
        <w:pStyle w:val="Heading2"/>
      </w:pPr>
      <w:r>
        <w:t xml:space="preserve">4. A small method for bad-reader design</w:t>
      </w:r>
    </w:p>
    <w:p>
      <w:pPr>
        <w:pStyle w:val="FirstParagraph"/>
      </w:pPr>
      <w:r>
        <w:t xml:space="preserve">The Good Bad Reader pass has seven questions:</w:t>
      </w:r>
    </w:p>
    <w:p>
      <w:pPr>
        <w:pStyle w:val="Compact"/>
        <w:numPr>
          <w:ilvl w:val="0"/>
          <w:numId w:val="1001"/>
        </w:numPr>
      </w:pPr>
      <w:r>
        <w:t xml:space="preserve">What is the object of this paper?</w:t>
      </w:r>
    </w:p>
    <w:p>
      <w:pPr>
        <w:pStyle w:val="Compact"/>
        <w:numPr>
          <w:ilvl w:val="0"/>
          <w:numId w:val="1001"/>
        </w:numPr>
      </w:pPr>
      <w:r>
        <w:t xml:space="preserve">What is the most likely wrong object a reader will substitute?</w:t>
      </w:r>
    </w:p>
    <w:p>
      <w:pPr>
        <w:pStyle w:val="Compact"/>
        <w:numPr>
          <w:ilvl w:val="0"/>
          <w:numId w:val="1001"/>
        </w:numPr>
      </w:pPr>
      <w:r>
        <w:t xml:space="preserve">Which sentence invites that substitution?</w:t>
      </w:r>
    </w:p>
    <w:p>
      <w:pPr>
        <w:pStyle w:val="Compact"/>
        <w:numPr>
          <w:ilvl w:val="0"/>
          <w:numId w:val="1001"/>
        </w:numPr>
      </w:pPr>
      <w:r>
        <w:t xml:space="preserve">Which sentence blocks it without weakening the paper?</w:t>
      </w:r>
    </w:p>
    <w:p>
      <w:pPr>
        <w:pStyle w:val="Compact"/>
        <w:numPr>
          <w:ilvl w:val="0"/>
          <w:numId w:val="1001"/>
        </w:numPr>
      </w:pPr>
      <w:r>
        <w:t xml:space="preserve">What must be fenced, not removed?</w:t>
      </w:r>
    </w:p>
    <w:p>
      <w:pPr>
        <w:pStyle w:val="Compact"/>
        <w:numPr>
          <w:ilvl w:val="0"/>
          <w:numId w:val="1001"/>
        </w:numPr>
      </w:pPr>
      <w:r>
        <w:t xml:space="preserve">Who is likely to benefit if the wrong object sticks?</w:t>
      </w:r>
    </w:p>
    <w:p>
      <w:pPr>
        <w:pStyle w:val="Compact"/>
        <w:numPr>
          <w:ilvl w:val="0"/>
          <w:numId w:val="1001"/>
        </w:numPr>
      </w:pPr>
      <w:r>
        <w:t xml:space="preserve">What should be moved to title, abstract, footnote, appendix, or later version?</w:t>
      </w:r>
    </w:p>
    <w:p>
      <w:pPr>
        <w:pStyle w:val="FirstParagraph"/>
      </w:pPr>
      <w:r>
        <w:t xml:space="preserve">This method treats misreading as design data. The point is not to make the paper timid. The point is to stop the paper from being eaten by a known parser.</w:t>
      </w:r>
    </w:p>
    <w:p>
      <w:pPr>
        <w:pStyle w:val="BodyText"/>
      </w:pPr>
      <w:r>
        <w:t xml:space="preserve">A useful fence is short. It says what the paper is not, then returns to the object. A bad fence becomes the paper. If the fence grows too large, the Good Bad Reader has captured the structure.</w:t>
      </w:r>
    </w:p>
    <w:p>
      <w:pPr>
        <w:pStyle w:val="BodyText"/>
      </w:pPr>
      <w:r>
        <w:t xml:space="preserve">Good fence:</w:t>
      </w:r>
    </w:p>
    <w:p>
      <w:pPr>
        <w:pStyle w:val="BodyText"/>
      </w:pPr>
      <w:r>
        <w:t xml:space="preserve">This paper is not medical advice. It asks why a benefit-facing signal was not repeated.</w:t>
      </w:r>
    </w:p>
    <w:p>
      <w:pPr>
        <w:pStyle w:val="BodyText"/>
      </w:pPr>
      <w:r>
        <w:t xml:space="preserve">Bad fence:</w:t>
      </w:r>
    </w:p>
    <w:p>
      <w:pPr>
        <w:pStyle w:val="BodyText"/>
      </w:pPr>
      <w:r>
        <w:t xml:space="preserve">This paper spends half its life apologising for asking the question.</w:t>
      </w:r>
    </w:p>
    <w:p>
      <w:pPr>
        <w:pStyle w:val="BodyText"/>
      </w:pPr>
      <w:r>
        <w:t xml:space="preserve">Good fence:</w:t>
      </w:r>
    </w:p>
    <w:p>
      <w:pPr>
        <w:pStyle w:val="BodyText"/>
      </w:pPr>
      <w:r>
        <w:t xml:space="preserve">This paper does not claim divine rank. It compares feeder-God and taker-God functions after God-union language.</w:t>
      </w:r>
    </w:p>
    <w:p>
      <w:pPr>
        <w:pStyle w:val="BodyText"/>
      </w:pPr>
      <w:r>
        <w:t xml:space="preserve">Bad fence:</w:t>
      </w:r>
    </w:p>
    <w:p>
      <w:pPr>
        <w:pStyle w:val="BodyText"/>
      </w:pPr>
      <w:r>
        <w:t xml:space="preserve">This paper removes God language until the actual object disappears.</w:t>
      </w:r>
    </w:p>
    <w:bookmarkEnd w:id="25"/>
    <w:bookmarkStart w:id="26" w:name="common-good-bad-reader-swaps"/>
    <w:p>
      <w:pPr>
        <w:pStyle w:val="Heading2"/>
      </w:pPr>
      <w:r>
        <w:t xml:space="preserve">5. Common Good Bad Reader swaps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Intended object</w:t>
            </w:r>
          </w:p>
        </w:tc>
        <w:tc>
          <w:tcPr/>
          <w:p>
            <w:pPr>
              <w:pStyle w:val="Compact"/>
              <w:jc w:val="left"/>
            </w:pPr>
            <w:r>
              <w:t xml:space="preserve">Common swap</w:t>
            </w:r>
          </w:p>
        </w:tc>
        <w:tc>
          <w:tcPr/>
          <w:p>
            <w:pPr>
              <w:pStyle w:val="Compact"/>
              <w:jc w:val="left"/>
            </w:pPr>
            <w:r>
              <w:t xml:space="preserve">Fence sentence</w:t>
            </w:r>
          </w:p>
        </w:tc>
      </w:tr>
      <w:tr>
        <w:tc>
          <w:tcPr/>
          <w:p>
            <w:pPr>
              <w:pStyle w:val="Compact"/>
              <w:jc w:val="left"/>
            </w:pPr>
            <w:r>
              <w:t xml:space="preserve">Psychosis pride</w:t>
            </w:r>
          </w:p>
        </w:tc>
        <w:tc>
          <w:tcPr/>
          <w:p>
            <w:pPr>
              <w:pStyle w:val="Compact"/>
              <w:jc w:val="left"/>
            </w:pPr>
            <w:r>
              <w:t xml:space="preserve">Pro-danger slogan</w:t>
            </w:r>
          </w:p>
        </w:tc>
        <w:tc>
          <w:tcPr/>
          <w:p>
            <w:pPr>
              <w:pStyle w:val="Compact"/>
              <w:jc w:val="left"/>
            </w:pPr>
            <w:r>
              <w:t xml:space="preserve">This is not an argument for collapse. It is an argument against value theft.</w:t>
            </w:r>
          </w:p>
        </w:tc>
      </w:tr>
      <w:tr>
        <w:tc>
          <w:tcPr/>
          <w:p>
            <w:pPr>
              <w:pStyle w:val="Compact"/>
              <w:jc w:val="left"/>
            </w:pPr>
            <w:r>
              <w:t xml:space="preserve">Peak valence</w:t>
            </w:r>
          </w:p>
        </w:tc>
        <w:tc>
          <w:tcPr/>
          <w:p>
            <w:pPr>
              <w:pStyle w:val="Compact"/>
              <w:jc w:val="left"/>
            </w:pPr>
            <w:r>
              <w:t xml:space="preserve">Romanticising harm</w:t>
            </w:r>
          </w:p>
        </w:tc>
        <w:tc>
          <w:tcPr/>
          <w:p>
            <w:pPr>
              <w:pStyle w:val="Compact"/>
              <w:jc w:val="left"/>
            </w:pPr>
            <w:r>
              <w:t xml:space="preserve">Value and danger can coexist. Refusing erasure of value is not denial of risk.</w:t>
            </w:r>
          </w:p>
        </w:tc>
      </w:tr>
      <w:tr>
        <w:tc>
          <w:tcPr/>
          <w:p>
            <w:pPr>
              <w:pStyle w:val="Compact"/>
              <w:jc w:val="left"/>
            </w:pPr>
            <w:r>
              <w:t xml:space="preserve">Missing valuation group</w:t>
            </w:r>
          </w:p>
        </w:tc>
        <w:tc>
          <w:tcPr/>
          <w:p>
            <w:pPr>
              <w:pStyle w:val="Compact"/>
              <w:jc w:val="left"/>
            </w:pPr>
            <w:r>
              <w:t xml:space="preserve">Wanting relapse</w:t>
            </w:r>
          </w:p>
        </w:tc>
        <w:tc>
          <w:tcPr/>
          <w:p>
            <w:pPr>
              <w:pStyle w:val="Compact"/>
              <w:jc w:val="left"/>
            </w:pPr>
            <w:r>
              <w:t xml:space="preserve">This paper asks whether recurrence is always valued negatively, not whether danger should be sought.</w:t>
            </w:r>
          </w:p>
        </w:tc>
      </w:tr>
      <w:tr>
        <w:tc>
          <w:tcPr/>
          <w:p>
            <w:pPr>
              <w:pStyle w:val="Compact"/>
              <w:jc w:val="left"/>
            </w:pPr>
            <w:r>
              <w:t xml:space="preserve">Cannabis benefit-signal</w:t>
            </w:r>
          </w:p>
        </w:tc>
        <w:tc>
          <w:tcPr/>
          <w:p>
            <w:pPr>
              <w:pStyle w:val="Compact"/>
              <w:jc w:val="left"/>
            </w:pPr>
            <w:r>
              <w:t xml:space="preserve">Medical advice</w:t>
            </w:r>
          </w:p>
        </w:tc>
        <w:tc>
          <w:tcPr/>
          <w:p>
            <w:pPr>
              <w:pStyle w:val="Compact"/>
              <w:jc w:val="left"/>
            </w:pPr>
            <w:r>
              <w:t xml:space="preserve">A signal too weak for advice can still be strong enough to deserve repetition.</w:t>
            </w:r>
          </w:p>
        </w:tc>
      </w:tr>
      <w:tr>
        <w:tc>
          <w:tcPr/>
          <w:p>
            <w:pPr>
              <w:pStyle w:val="Compact"/>
              <w:jc w:val="left"/>
            </w:pPr>
            <w:r>
              <w:t xml:space="preserve">Unrun second study</w:t>
            </w:r>
          </w:p>
        </w:tc>
        <w:tc>
          <w:tcPr/>
          <w:p>
            <w:pPr>
              <w:pStyle w:val="Compact"/>
              <w:jc w:val="left"/>
            </w:pPr>
            <w:r>
              <w:t xml:space="preserve">Proof of benefit</w:t>
            </w:r>
          </w:p>
        </w:tc>
        <w:tc>
          <w:tcPr/>
          <w:p>
            <w:pPr>
              <w:pStyle w:val="Compact"/>
              <w:jc w:val="left"/>
            </w:pPr>
            <w:r>
              <w:t xml:space="preserve">The forbidden reading starts a clock. It does not settle the claim.</w:t>
            </w:r>
          </w:p>
        </w:tc>
      </w:tr>
      <w:tr>
        <w:tc>
          <w:tcPr/>
          <w:p>
            <w:pPr>
              <w:pStyle w:val="Compact"/>
              <w:jc w:val="left"/>
            </w:pPr>
            <w:r>
              <w:t xml:space="preserve">Trip abaters</w:t>
            </w:r>
          </w:p>
        </w:tc>
        <w:tc>
          <w:tcPr/>
          <w:p>
            <w:pPr>
              <w:pStyle w:val="Compact"/>
              <w:jc w:val="left"/>
            </w:pPr>
            <w:r>
              <w:t xml:space="preserve">Anti-medication stance</w:t>
            </w:r>
          </w:p>
        </w:tc>
        <w:tc>
          <w:tcPr/>
          <w:p>
            <w:pPr>
              <w:pStyle w:val="Compact"/>
              <w:jc w:val="left"/>
            </w:pPr>
            <w:r>
              <w:t xml:space="preserve">The term names function. It does not deny that drugs can help some crises.</w:t>
            </w:r>
          </w:p>
        </w:tc>
      </w:tr>
      <w:tr>
        <w:tc>
          <w:tcPr/>
          <w:p>
            <w:pPr>
              <w:pStyle w:val="Compact"/>
              <w:jc w:val="left"/>
            </w:pPr>
            <w:r>
              <w:t xml:space="preserve">Act is not object</w:t>
            </w:r>
          </w:p>
        </w:tc>
        <w:tc>
          <w:tcPr/>
          <w:p>
            <w:pPr>
              <w:pStyle w:val="Compact"/>
              <w:jc w:val="left"/>
            </w:pPr>
            <w:r>
              <w:t xml:space="preserve">Legal permission</w:t>
            </w:r>
          </w:p>
        </w:tc>
        <w:tc>
          <w:tcPr/>
          <w:p>
            <w:pPr>
              <w:pStyle w:val="Compact"/>
              <w:jc w:val="left"/>
            </w:pPr>
            <w:r>
              <w:t xml:space="preserve">The distinction is semantic and analytic. It is not an instruction to act.</w:t>
            </w:r>
          </w:p>
        </w:tc>
      </w:tr>
      <w:tr>
        <w:tc>
          <w:tcPr/>
          <w:p>
            <w:pPr>
              <w:pStyle w:val="Compact"/>
              <w:jc w:val="left"/>
            </w:pPr>
            <w:r>
              <w:t xml:space="preserve">God-union</w:t>
            </w:r>
          </w:p>
        </w:tc>
        <w:tc>
          <w:tcPr/>
          <w:p>
            <w:pPr>
              <w:pStyle w:val="Compact"/>
              <w:jc w:val="left"/>
            </w:pPr>
            <w:r>
              <w:t xml:space="preserve">Rank claim</w:t>
            </w:r>
          </w:p>
        </w:tc>
        <w:tc>
          <w:tcPr/>
          <w:p>
            <w:pPr>
              <w:pStyle w:val="Compact"/>
              <w:jc w:val="left"/>
            </w:pPr>
            <w:r>
              <w:t xml:space="preserve">The paper distinguishes God-rank from God-function.</w:t>
            </w:r>
          </w:p>
        </w:tc>
      </w:tr>
      <w:tr>
        <w:tc>
          <w:tcPr/>
          <w:p>
            <w:pPr>
              <w:pStyle w:val="Compact"/>
              <w:jc w:val="left"/>
            </w:pPr>
            <w:r>
              <w:t xml:space="preserve">Shaded classroom</w:t>
            </w:r>
          </w:p>
        </w:tc>
        <w:tc>
          <w:tcPr/>
          <w:p>
            <w:pPr>
              <w:pStyle w:val="Compact"/>
              <w:jc w:val="left"/>
            </w:pPr>
            <w:r>
              <w:t xml:space="preserve">Suspicious personal offer</w:t>
            </w:r>
          </w:p>
        </w:tc>
        <w:tc>
          <w:tcPr/>
          <w:p>
            <w:pPr>
              <w:pStyle w:val="Compact"/>
              <w:jc w:val="left"/>
            </w:pPr>
            <w:r>
              <w:t xml:space="preserve">The object is latent civic capacity, not the author as helper.</w:t>
            </w:r>
          </w:p>
        </w:tc>
      </w:tr>
      <w:tr>
        <w:tc>
          <w:tcPr/>
          <w:p>
            <w:pPr>
              <w:pStyle w:val="Compact"/>
              <w:jc w:val="left"/>
            </w:pPr>
            <w:r>
              <w:t xml:space="preserve">Autism language access</w:t>
            </w:r>
          </w:p>
        </w:tc>
        <w:tc>
          <w:tcPr/>
          <w:p>
            <w:pPr>
              <w:pStyle w:val="Compact"/>
              <w:jc w:val="left"/>
            </w:pPr>
            <w:r>
              <w:t xml:space="preserve">Permission to demean</w:t>
            </w:r>
          </w:p>
        </w:tc>
        <w:tc>
          <w:tcPr/>
          <w:p>
            <w:pPr>
              <w:pStyle w:val="Compact"/>
              <w:jc w:val="left"/>
            </w:pPr>
            <w:r>
              <w:t xml:space="preserve">The object is self-owned or local rough speech, not attacks on other people.</w:t>
            </w:r>
          </w:p>
        </w:tc>
      </w:tr>
      <w:tr>
        <w:tc>
          <w:tcPr/>
          <w:p>
            <w:pPr>
              <w:pStyle w:val="Compact"/>
              <w:jc w:val="left"/>
            </w:pPr>
            <w:r>
              <w:t xml:space="preserve">DRAGI_SELF</w:t>
            </w:r>
          </w:p>
        </w:tc>
        <w:tc>
          <w:tcPr/>
          <w:p>
            <w:pPr>
              <w:pStyle w:val="Compact"/>
              <w:jc w:val="left"/>
            </w:pPr>
            <w:r>
              <w:t xml:space="preserve">New primitive</w:t>
            </w:r>
          </w:p>
        </w:tc>
        <w:tc>
          <w:tcPr/>
          <w:p>
            <w:pPr>
              <w:pStyle w:val="Compact"/>
              <w:jc w:val="left"/>
            </w:pPr>
            <w:r>
              <w:t xml:space="preserve">The pass condition is slot binding, not naming.</w:t>
            </w:r>
          </w:p>
        </w:tc>
      </w:tr>
      <w:tr>
        <w:tc>
          <w:tcPr/>
          <w:p>
            <w:pPr>
              <w:pStyle w:val="Compact"/>
              <w:jc w:val="left"/>
            </w:pPr>
            <w:r>
              <w:t xml:space="preserve">AI critique</w:t>
            </w:r>
          </w:p>
        </w:tc>
        <w:tc>
          <w:tcPr/>
          <w:p>
            <w:pPr>
              <w:pStyle w:val="Compact"/>
              <w:jc w:val="left"/>
            </w:pPr>
            <w:r>
              <w:t xml:space="preserve">Anti-AI position</w:t>
            </w:r>
          </w:p>
        </w:tc>
        <w:tc>
          <w:tcPr/>
          <w:p>
            <w:pPr>
              <w:pStyle w:val="Compact"/>
              <w:jc w:val="left"/>
            </w:pPr>
            <w:r>
              <w:t xml:space="preserve">The object is custody and failure modes, not rejection of tools.</w:t>
            </w:r>
          </w:p>
        </w:tc>
      </w:tr>
      <w:tr>
        <w:tc>
          <w:tcPr/>
          <w:p>
            <w:pPr>
              <w:pStyle w:val="Compact"/>
              <w:jc w:val="left"/>
            </w:pPr>
            <w:r>
              <w:t xml:space="preserve">MOGRI / DRAGI / IMAMI</w:t>
            </w:r>
          </w:p>
        </w:tc>
        <w:tc>
          <w:tcPr/>
          <w:p>
            <w:pPr>
              <w:pStyle w:val="Compact"/>
              <w:jc w:val="left"/>
            </w:pPr>
            <w:r>
              <w:t xml:space="preserve">Task prompts or preference prompts</w:t>
            </w:r>
          </w:p>
        </w:tc>
        <w:tc>
          <w:tcPr/>
          <w:p>
            <w:pPr>
              <w:pStyle w:val="Compact"/>
              <w:jc w:val="left"/>
            </w:pPr>
            <w:r>
              <w:t xml:space="preserve">These are critical custody patches: MOGRI patches object loss, DRAGI patches eater blindness, and IMAMI patches approach theft.</w:t>
            </w:r>
          </w:p>
        </w:tc>
      </w:tr>
    </w:tbl>
    <w:p>
      <w:pPr>
        <w:pStyle w:val="BodyText"/>
      </w:pPr>
      <w:r>
        <w:t xml:space="preserve">The table is not a list of apologies. It is an object survival map.</w:t>
      </w:r>
    </w:p>
    <w:bookmarkEnd w:id="26"/>
    <w:bookmarkStart w:id="27" w:name="why-risky-objects-need-fences"/>
    <w:p>
      <w:pPr>
        <w:pStyle w:val="Heading2"/>
      </w:pPr>
      <w:r>
        <w:t xml:space="preserve">6. Why risky objects need fences</w:t>
      </w:r>
    </w:p>
    <w:p>
      <w:pPr>
        <w:pStyle w:val="FirstParagraph"/>
      </w:pPr>
      <w:r>
        <w:t xml:space="preserve">Some objects carry high swap pressure because they sit near institutional alarms.</w:t>
      </w:r>
    </w:p>
    <w:p>
      <w:pPr>
        <w:pStyle w:val="BodyText"/>
      </w:pPr>
      <w:r>
        <w:t xml:space="preserve">Psychosis sits near danger, treatment, insight, capacity, and involuntary intervention.</w:t>
      </w:r>
    </w:p>
    <w:p>
      <w:pPr>
        <w:pStyle w:val="BodyText"/>
      </w:pPr>
      <w:r>
        <w:t xml:space="preserve">Cannabis sits near drug-war messaging, medical advice, parenting panic, and research stigma.</w:t>
      </w:r>
    </w:p>
    <w:p>
      <w:pPr>
        <w:pStyle w:val="BodyText"/>
      </w:pPr>
      <w:r>
        <w:t xml:space="preserve">God-union sits near cult fear, grandiosity warnings, and theological offence.</w:t>
      </w:r>
    </w:p>
    <w:p>
      <w:pPr>
        <w:pStyle w:val="BodyText"/>
      </w:pPr>
      <w:r>
        <w:t xml:space="preserve">Child-adjacent civic design sits near safeguarding, reputation, liability, and gendered suspicion.</w:t>
      </w:r>
    </w:p>
    <w:p>
      <w:pPr>
        <w:pStyle w:val="BodyText"/>
      </w:pPr>
      <w:r>
        <w:t xml:space="preserve">Autistic language sits near politeness norms, respectability sorting, and speech-policing.</w:t>
      </w:r>
    </w:p>
    <w:p>
      <w:pPr>
        <w:pStyle w:val="BodyText"/>
      </w:pPr>
      <w:r>
        <w:t xml:space="preserve">AI sits near hype, panic, job loss, deception, and moral theatre.</w:t>
      </w:r>
    </w:p>
    <w:p>
      <w:pPr>
        <w:pStyle w:val="BodyText"/>
      </w:pPr>
      <w:r>
        <w:t xml:space="preserve">A paper near these alarms is not read on a calm table. It is read inside a buzzing room. The Good Bad Reader pass asks what the buzz will do to the object.</w:t>
      </w:r>
    </w:p>
    <w:p>
      <w:pPr>
        <w:pStyle w:val="BodyText"/>
      </w:pPr>
      <w:r>
        <w:t xml:space="preserve">This matters because the predictable misreading often arrives faster than the argument. The reader sees a title, a sentence, a phrase, or a social category and replaces the paper with the nearest familiar warning.</w:t>
      </w:r>
    </w:p>
    <w:p>
      <w:pPr>
        <w:pStyle w:val="BodyText"/>
      </w:pPr>
      <w:r>
        <w:t xml:space="preserve">Design cannot stop all replacement. But it can slow the replacement long enough for the object to be seen.</w:t>
      </w:r>
    </w:p>
    <w:bookmarkEnd w:id="27"/>
    <w:bookmarkStart w:id="28" w:name="the-fence-must-not-become-a-cage"/>
    <w:p>
      <w:pPr>
        <w:pStyle w:val="Heading2"/>
      </w:pPr>
      <w:r>
        <w:t xml:space="preserve">7. The fence must not become a cage</w:t>
      </w:r>
    </w:p>
    <w:p>
      <w:pPr>
        <w:pStyle w:val="FirstParagraph"/>
      </w:pPr>
      <w:r>
        <w:t xml:space="preserve">There is a danger in this method. If the writer designs only for the Good Bad Reader, the paper becomes over-fenced. It loses voltage. It starts speaking in institutional hostage language. Every interesting object is preceded by a long ritual of non-meaning.</w:t>
      </w:r>
    </w:p>
    <w:p>
      <w:pPr>
        <w:pStyle w:val="BodyText"/>
      </w:pPr>
      <w:r>
        <w:t xml:space="preserve">That is not object custody. That is surrender.</w:t>
      </w:r>
    </w:p>
    <w:p>
      <w:pPr>
        <w:pStyle w:val="BodyText"/>
      </w:pPr>
      <w:r>
        <w:t xml:space="preserve">The fence should be just strong enough to block the predictable swap. It should not turn the paper into a courtroom defence of its own right to exist.</w:t>
      </w:r>
    </w:p>
    <w:p>
      <w:pPr>
        <w:pStyle w:val="BodyText"/>
      </w:pPr>
      <w:r>
        <w:t xml:space="preserve">A good fence is a hinge. It lets the paper continue.</w:t>
      </w:r>
    </w:p>
    <w:p>
      <w:pPr>
        <w:pStyle w:val="BodyText"/>
      </w:pPr>
      <w:r>
        <w:t xml:space="preserve">A cage stops the paper from moving.</w:t>
      </w:r>
    </w:p>
    <w:p>
      <w:pPr>
        <w:pStyle w:val="BodyText"/>
      </w:pPr>
      <w:r>
        <w:t xml:space="preserve">A fence is successful when the object continues moving.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Device</w:t>
            </w:r>
          </w:p>
        </w:tc>
        <w:tc>
          <w:tcPr/>
          <w:p>
            <w:pPr>
              <w:pStyle w:val="Compact"/>
              <w:jc w:val="left"/>
            </w:pPr>
            <w:r>
              <w:t xml:space="preserve">Function</w:t>
            </w:r>
          </w:p>
        </w:tc>
        <w:tc>
          <w:tcPr/>
          <w:p>
            <w:pPr>
              <w:pStyle w:val="Compact"/>
              <w:jc w:val="left"/>
            </w:pPr>
            <w:r>
              <w:t xml:space="preserve">Failure mode</w:t>
            </w:r>
          </w:p>
        </w:tc>
      </w:tr>
      <w:tr>
        <w:tc>
          <w:tcPr/>
          <w:p>
            <w:pPr>
              <w:pStyle w:val="Compact"/>
              <w:jc w:val="left"/>
            </w:pPr>
            <w:r>
              <w:t xml:space="preserve">Fence</w:t>
            </w:r>
          </w:p>
        </w:tc>
        <w:tc>
          <w:tcPr/>
          <w:p>
            <w:pPr>
              <w:pStyle w:val="Compact"/>
              <w:jc w:val="left"/>
            </w:pPr>
            <w:r>
              <w:t xml:space="preserve">Blocks the likely swap, then returns to the object</w:t>
            </w:r>
          </w:p>
        </w:tc>
        <w:tc>
          <w:tcPr/>
          <w:p>
            <w:pPr>
              <w:pStyle w:val="Compact"/>
              <w:jc w:val="left"/>
            </w:pPr>
            <w:r>
              <w:t xml:space="preserve">Too weak to stop category theft</w:t>
            </w:r>
          </w:p>
        </w:tc>
      </w:tr>
      <w:tr>
        <w:tc>
          <w:tcPr/>
          <w:p>
            <w:pPr>
              <w:pStyle w:val="Compact"/>
              <w:jc w:val="left"/>
            </w:pPr>
            <w:r>
              <w:t xml:space="preserve">Cage</w:t>
            </w:r>
          </w:p>
        </w:tc>
        <w:tc>
          <w:tcPr/>
          <w:p>
            <w:pPr>
              <w:pStyle w:val="Compact"/>
              <w:jc w:val="left"/>
            </w:pPr>
            <w:r>
              <w:t xml:space="preserve">Tries to prevent every possible bad reading</w:t>
            </w:r>
          </w:p>
        </w:tc>
        <w:tc>
          <w:tcPr/>
          <w:p>
            <w:pPr>
              <w:pStyle w:val="Compact"/>
              <w:jc w:val="left"/>
            </w:pPr>
            <w:r>
              <w:t xml:space="preserve">Lets bad-reader fear become the structure</w:t>
            </w:r>
          </w:p>
        </w:tc>
      </w:tr>
      <w:tr>
        <w:tc>
          <w:tcPr/>
          <w:p>
            <w:pPr>
              <w:pStyle w:val="Compact"/>
              <w:jc w:val="left"/>
            </w:pPr>
            <w:r>
              <w:t xml:space="preserve">Hinge</w:t>
            </w:r>
          </w:p>
        </w:tc>
        <w:tc>
          <w:tcPr/>
          <w:p>
            <w:pPr>
              <w:pStyle w:val="Compact"/>
              <w:jc w:val="left"/>
            </w:pPr>
            <w:r>
              <w:t xml:space="preserve">Lets the paper acknowledge risk and continue</w:t>
            </w:r>
          </w:p>
        </w:tc>
        <w:tc>
          <w:tcPr/>
          <w:p>
            <w:pPr>
              <w:pStyle w:val="Compact"/>
              <w:jc w:val="left"/>
            </w:pPr>
            <w:r>
              <w:t xml:space="preserve">Becomes invisible if the reader misses it</w:t>
            </w:r>
          </w:p>
        </w:tc>
      </w:tr>
      <w:tr>
        <w:tc>
          <w:tcPr/>
          <w:p>
            <w:pPr>
              <w:pStyle w:val="Compact"/>
              <w:jc w:val="left"/>
            </w:pPr>
            <w:r>
              <w:t xml:space="preserve">Apology spiral</w:t>
            </w:r>
          </w:p>
        </w:tc>
        <w:tc>
          <w:tcPr/>
          <w:p>
            <w:pPr>
              <w:pStyle w:val="Compact"/>
              <w:jc w:val="left"/>
            </w:pPr>
            <w:r>
              <w:t xml:space="preserve">Repeats non-claims until the claim disappears</w:t>
            </w:r>
          </w:p>
        </w:tc>
        <w:tc>
          <w:tcPr/>
          <w:p>
            <w:pPr>
              <w:pStyle w:val="Compact"/>
              <w:jc w:val="left"/>
            </w:pPr>
            <w:r>
              <w:t xml:space="preserve">Gives the Good Bad Reader veto power</w:t>
            </w:r>
          </w:p>
        </w:tc>
      </w:tr>
      <w:tr>
        <w:tc>
          <w:tcPr/>
          <w:p>
            <w:pPr>
              <w:pStyle w:val="Compact"/>
              <w:jc w:val="left"/>
            </w:pPr>
            <w:r>
              <w:t xml:space="preserve">Object lock</w:t>
            </w:r>
          </w:p>
        </w:tc>
        <w:tc>
          <w:tcPr/>
          <w:p>
            <w:pPr>
              <w:pStyle w:val="Compact"/>
              <w:jc w:val="left"/>
            </w:pPr>
            <w:r>
              <w:t xml:space="preserve">Names what must survive the fence</w:t>
            </w:r>
          </w:p>
        </w:tc>
        <w:tc>
          <w:tcPr/>
          <w:p>
            <w:pPr>
              <w:pStyle w:val="Compact"/>
              <w:jc w:val="left"/>
            </w:pPr>
            <w:r>
              <w:t xml:space="preserve">Turns into slogan if not tied to use</w:t>
            </w:r>
          </w:p>
        </w:tc>
      </w:tr>
    </w:tbl>
    <w:p>
      <w:pPr>
        <w:pStyle w:val="BodyText"/>
      </w:pPr>
      <w:r>
        <w:t xml:space="preserve">The difference is important. A psychosis pride paper still has to say pride. A cannabis research-asymmetry paper still has to print the forbidden reading. A God-union paper still has to say God. A shaded classroom paper still has to say that nearby trees, rooms, gardens, halls, and people with time may be real civic resources. A DRAGI paper still has to say BEEST=self.</w:t>
      </w:r>
    </w:p>
    <w:p>
      <w:pPr>
        <w:pStyle w:val="BodyText"/>
      </w:pPr>
      <w:r>
        <w:t xml:space="preserve">The Good Bad Reader does not get veto power. They get design presence.</w:t>
      </w:r>
    </w:p>
    <w:bookmarkEnd w:id="28"/>
    <w:bookmarkStart w:id="29" w:name="relation-to-mogri"/>
    <w:p>
      <w:pPr>
        <w:pStyle w:val="Heading2"/>
      </w:pPr>
      <w:r>
        <w:t xml:space="preserve">8. Relation to MOGRI</w:t>
      </w:r>
    </w:p>
    <w:p>
      <w:pPr>
        <w:pStyle w:val="FirstParagraph"/>
      </w:pPr>
      <w:r>
        <w:t xml:space="preserve">The Good Bad Reader pass is MOGRI before publication.</w:t>
      </w:r>
    </w:p>
    <w:p>
      <w:pPr>
        <w:pStyle w:val="BodyText"/>
      </w:pPr>
      <w:r>
        <w:t xml:space="preserve">MOGRI names object custody. In this method note, the object is the paper’s intended claim, not the reader’s nearest familiar alarm. The Good Bad Reader pass asks what will try to replace that object, how likely the swap is, and which small fence keeps the object alive.</w:t>
      </w:r>
    </w:p>
    <w:p>
      <w:pPr>
        <w:pStyle w:val="BodyText"/>
      </w:pPr>
      <w:r>
        <w:t xml:space="preserve">In compact form:</w:t>
      </w:r>
    </w:p>
    <w:p>
      <w:pPr>
        <w:pStyle w:val="SourceCode"/>
      </w:pPr>
      <w:r>
        <w:rPr>
          <w:rStyle w:val="VerbatimChar"/>
        </w:rPr>
        <w:t xml:space="preserve">MOGRI:</w:t>
      </w:r>
      <w:r>
        <w:br/>
      </w:r>
      <w:r>
        <w:rPr>
          <w:rStyle w:val="VerbatimChar"/>
        </w:rPr>
        <w:t xml:space="preserve">hold object</w:t>
      </w:r>
      <w:r>
        <w:br/>
      </w:r>
      <w:r>
        <w:rPr>
          <w:rStyle w:val="VerbatimChar"/>
        </w:rPr>
        <w:t xml:space="preserve">forecast swap</w:t>
      </w:r>
      <w:r>
        <w:br/>
      </w:r>
      <w:r>
        <w:rPr>
          <w:rStyle w:val="VerbatimChar"/>
        </w:rPr>
        <w:t xml:space="preserve">block swap</w:t>
      </w:r>
      <w:r>
        <w:br/>
      </w:r>
      <w:r>
        <w:rPr>
          <w:rStyle w:val="VerbatimChar"/>
        </w:rPr>
        <w:t xml:space="preserve">resume object</w:t>
      </w:r>
    </w:p>
    <w:p>
      <w:pPr>
        <w:pStyle w:val="FirstParagraph"/>
      </w:pPr>
      <w:r>
        <w:t xml:space="preserve">This is why the Good Bad Reader is not the authority. The reader-risk pass supplies pressure data. It does not decide what the paper is allowed to be.</w:t>
      </w:r>
    </w:p>
    <w:p>
      <w:pPr>
        <w:pStyle w:val="BodyText"/>
      </w:pPr>
      <w:r>
        <w:t xml:space="preserve">A useful formula is:</w:t>
      </w:r>
    </w:p>
    <w:p>
      <w:pPr>
        <w:pStyle w:val="SourceCode"/>
      </w:pPr>
      <w:r>
        <w:rPr>
          <w:rStyle w:val="VerbatimChar"/>
        </w:rPr>
        <w:t xml:space="preserve">Object:</w:t>
      </w:r>
      <w:r>
        <w:br/>
      </w:r>
      <w:r>
        <w:rPr>
          <w:rStyle w:val="VerbatimChar"/>
        </w:rPr>
        <w:t xml:space="preserve">what this paper is actually doing</w:t>
      </w:r>
      <w:r>
        <w:br/>
      </w:r>
      <w:r>
        <w:br/>
      </w:r>
      <w:r>
        <w:rPr>
          <w:rStyle w:val="VerbatimChar"/>
        </w:rPr>
        <w:t xml:space="preserve">Likely swap:</w:t>
      </w:r>
      <w:r>
        <w:br/>
      </w:r>
      <w:r>
        <w:rPr>
          <w:rStyle w:val="VerbatimChar"/>
        </w:rPr>
        <w:t xml:space="preserve">what a trained or anxious parser may turn it into</w:t>
      </w:r>
      <w:r>
        <w:br/>
      </w:r>
      <w:r>
        <w:br/>
      </w:r>
      <w:r>
        <w:rPr>
          <w:rStyle w:val="VerbatimChar"/>
        </w:rPr>
        <w:t xml:space="preserve">Fence:</w:t>
      </w:r>
      <w:r>
        <w:br/>
      </w:r>
      <w:r>
        <w:rPr>
          <w:rStyle w:val="VerbatimChar"/>
        </w:rPr>
        <w:t xml:space="preserve">the smallest sentence that blocks the swap</w:t>
      </w:r>
      <w:r>
        <w:br/>
      </w:r>
      <w:r>
        <w:br/>
      </w:r>
      <w:r>
        <w:rPr>
          <w:rStyle w:val="VerbatimChar"/>
        </w:rPr>
        <w:t xml:space="preserve">Resume:</w:t>
      </w:r>
      <w:r>
        <w:br/>
      </w:r>
      <w:r>
        <w:rPr>
          <w:rStyle w:val="VerbatimChar"/>
        </w:rPr>
        <w:t xml:space="preserve">return immediately to the object</w:t>
      </w:r>
    </w:p>
    <w:p>
      <w:pPr>
        <w:pStyle w:val="FirstParagraph"/>
      </w:pPr>
      <w:r>
        <w:t xml:space="preserve">If the fence grows until the object disappears, MOGRI has failed. The object has been replaced by defence theatre. If the paper ignores a forecastable swap and lets the nearest alarm take over, MOGRI has also failed. The middle route is small, stubborn, and usable: name the wrong door, latch it, keep walking.</w:t>
      </w:r>
    </w:p>
    <w:bookmarkEnd w:id="29"/>
    <w:bookmarkStart w:id="30" w:name="Xf37dddfeaaf3368197195f391fe07dea896b0a2"/>
    <w:p>
      <w:pPr>
        <w:pStyle w:val="Heading2"/>
      </w:pPr>
      <w:r>
        <w:t xml:space="preserve">9. The Good Bad Reader in AI-assisted writing</w:t>
      </w:r>
    </w:p>
    <w:p>
      <w:pPr>
        <w:pStyle w:val="FirstParagraph"/>
      </w:pPr>
      <w:r>
        <w:t xml:space="preserve">AI-assisted writing increases the need for this method because large language models are often excellent Good Bad Readers by default. They know the common parser. They know the institutional groove. Asked to write about psychosis, they may drift toward diagnosis, risk, therapy, and symptom language. Asked to write about cannabis, they may drift toward warnings. Asked to write about God-union, they may turn function into pathology or rank. Asked to write about a self-animal game, they may mint a new primitive rather than preserve DRAGI slot binding.</w:t>
      </w:r>
    </w:p>
    <w:p>
      <w:pPr>
        <w:pStyle w:val="BodyText"/>
      </w:pPr>
      <w:r>
        <w:t xml:space="preserve">That means the model is not only a writer. It is also a bad-reader simulator.</w:t>
      </w:r>
    </w:p>
    <w:p>
      <w:pPr>
        <w:pStyle w:val="BodyText"/>
      </w:pPr>
      <w:r>
        <w:t xml:space="preserve">This is useful if handled openly. A model can be asked to list likely object swaps, produce fence sentences, and audit whether the paper has become too defensive. But the model should not be allowed to take authority over the object. It can identify likely drift. It cannot decide what the object is.</w:t>
      </w:r>
    </w:p>
    <w:p>
      <w:pPr>
        <w:pStyle w:val="BodyText"/>
      </w:pPr>
      <w:r>
        <w:t xml:space="preserve">In this sense, the Good Bad Reader pass fits object-custody work. The author or local authority names the object. The reader-risk pass tests how easily that object is lost.</w:t>
      </w:r>
    </w:p>
    <w:bookmarkEnd w:id="30"/>
    <w:bookmarkStart w:id="31" w:name="stack-placement"/>
    <w:p>
      <w:pPr>
        <w:pStyle w:val="Heading2"/>
      </w:pPr>
      <w:r>
        <w:t xml:space="preserve">10. Stack placement</w:t>
      </w:r>
    </w:p>
    <w:p>
      <w:pPr>
        <w:pStyle w:val="FirstParagraph"/>
      </w:pPr>
      <w:r>
        <w:t xml:space="preserve">The Good Bad Reader is one method note in a larger custody stack. It does not replace the others. It gives a publication-facing use of the same object-protection discipline.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Paper or method</w:t>
            </w:r>
          </w:p>
        </w:tc>
        <w:tc>
          <w:tcPr/>
          <w:p>
            <w:pPr>
              <w:pStyle w:val="Compact"/>
              <w:jc w:val="left"/>
            </w:pPr>
            <w:r>
              <w:t xml:space="preserve">Primary failure blocked</w:t>
            </w:r>
          </w:p>
        </w:tc>
        <w:tc>
          <w:tcPr/>
          <w:p>
            <w:pPr>
              <w:pStyle w:val="Compact"/>
              <w:jc w:val="left"/>
            </w:pPr>
            <w:r>
              <w:t xml:space="preserve">Protected object</w:t>
            </w:r>
          </w:p>
        </w:tc>
      </w:tr>
      <w:tr>
        <w:tc>
          <w:tcPr/>
          <w:p>
            <w:pPr>
              <w:pStyle w:val="Compact"/>
              <w:jc w:val="left"/>
            </w:pPr>
            <w:r>
              <w:t xml:space="preserve">Elves Shelved</w:t>
            </w:r>
          </w:p>
        </w:tc>
        <w:tc>
          <w:tcPr/>
          <w:p>
            <w:pPr>
              <w:pStyle w:val="Compact"/>
              <w:jc w:val="left"/>
            </w:pPr>
            <w:r>
              <w:t xml:space="preserve">Private source becomes fantasy dismissal or spectacle</w:t>
            </w:r>
          </w:p>
        </w:tc>
        <w:tc>
          <w:tcPr/>
          <w:p>
            <w:pPr>
              <w:pStyle w:val="Compact"/>
              <w:jc w:val="left"/>
            </w:pPr>
            <w:r>
              <w:t xml:space="preserve">Public function based on private source</w:t>
            </w:r>
          </w:p>
        </w:tc>
      </w:tr>
      <w:tr>
        <w:tc>
          <w:tcPr/>
          <w:p>
            <w:pPr>
              <w:pStyle w:val="Compact"/>
              <w:jc w:val="left"/>
            </w:pPr>
            <w:r>
              <w:t xml:space="preserve">Good Bad Reader</w:t>
            </w:r>
          </w:p>
        </w:tc>
        <w:tc>
          <w:tcPr/>
          <w:p>
            <w:pPr>
              <w:pStyle w:val="Compact"/>
              <w:jc w:val="left"/>
            </w:pPr>
            <w:r>
              <w:t xml:space="preserve">Predictable reader swaps the object</w:t>
            </w:r>
          </w:p>
        </w:tc>
        <w:tc>
          <w:tcPr/>
          <w:p>
            <w:pPr>
              <w:pStyle w:val="Compact"/>
              <w:jc w:val="left"/>
            </w:pPr>
            <w:r>
              <w:t xml:space="preserve">The paper’s intended claim</w:t>
            </w:r>
          </w:p>
        </w:tc>
      </w:tr>
      <w:tr>
        <w:tc>
          <w:tcPr/>
          <w:p>
            <w:pPr>
              <w:pStyle w:val="Compact"/>
              <w:jc w:val="left"/>
            </w:pPr>
            <w:r>
              <w:t xml:space="preserve">Evidence Is Not Person</w:t>
            </w:r>
          </w:p>
        </w:tc>
        <w:tc>
          <w:tcPr/>
          <w:p>
            <w:pPr>
              <w:pStyle w:val="Compact"/>
              <w:jc w:val="left"/>
            </w:pPr>
            <w:r>
              <w:t xml:space="preserve">Fragment becomes whole-person proxy</w:t>
            </w:r>
          </w:p>
        </w:tc>
        <w:tc>
          <w:tcPr/>
          <w:p>
            <w:pPr>
              <w:pStyle w:val="Compact"/>
              <w:jc w:val="left"/>
            </w:pPr>
            <w:r>
              <w:t xml:space="preserve">The human behind the evidence</w:t>
            </w:r>
          </w:p>
        </w:tc>
      </w:tr>
      <w:tr>
        <w:tc>
          <w:tcPr/>
          <w:p>
            <w:pPr>
              <w:pStyle w:val="Compact"/>
              <w:jc w:val="left"/>
            </w:pPr>
            <w:r>
              <w:t xml:space="preserve">Psychosis_Gate</w:t>
            </w:r>
          </w:p>
        </w:tc>
        <w:tc>
          <w:tcPr/>
          <w:p>
            <w:pPr>
              <w:pStyle w:val="Compact"/>
              <w:jc w:val="left"/>
            </w:pPr>
            <w:r>
              <w:t xml:space="preserve">Strange speech becomes invalidity</w:t>
            </w:r>
          </w:p>
        </w:tc>
        <w:tc>
          <w:tcPr/>
          <w:p>
            <w:pPr>
              <w:pStyle w:val="Compact"/>
              <w:jc w:val="left"/>
            </w:pPr>
            <w:r>
              <w:t xml:space="preserve">The object before diagnosis or dismissal</w:t>
            </w:r>
          </w:p>
        </w:tc>
      </w:tr>
      <w:tr>
        <w:tc>
          <w:tcPr/>
          <w:p>
            <w:pPr>
              <w:pStyle w:val="Compact"/>
              <w:jc w:val="left"/>
            </w:pPr>
            <w:r>
              <w:t xml:space="preserve">Mogric Reading</w:t>
            </w:r>
          </w:p>
        </w:tc>
        <w:tc>
          <w:tcPr/>
          <w:p>
            <w:pPr>
              <w:pStyle w:val="Compact"/>
              <w:jc w:val="left"/>
            </w:pPr>
            <w:r>
              <w:t xml:space="preserve">Multiple layers collapse into one verdict</w:t>
            </w:r>
          </w:p>
        </w:tc>
        <w:tc>
          <w:tcPr/>
          <w:p>
            <w:pPr>
              <w:pStyle w:val="Compact"/>
              <w:jc w:val="left"/>
            </w:pPr>
            <w:r>
              <w:t xml:space="preserve">Mysay, theirsay, origin, proof, and method</w:t>
            </w:r>
          </w:p>
        </w:tc>
      </w:tr>
      <w:tr>
        <w:tc>
          <w:tcPr/>
          <w:p>
            <w:pPr>
              <w:pStyle w:val="Compact"/>
              <w:jc w:val="left"/>
            </w:pPr>
            <w:r>
              <w:t xml:space="preserve">MOGRI / DRAGI / IMAMI</w:t>
            </w:r>
          </w:p>
        </w:tc>
        <w:tc>
          <w:tcPr/>
          <w:p>
            <w:pPr>
              <w:pStyle w:val="Compact"/>
              <w:jc w:val="left"/>
            </w:pPr>
            <w:r>
              <w:t xml:space="preserve">Custody patches reduced to preference prompts</w:t>
            </w:r>
          </w:p>
        </w:tc>
        <w:tc>
          <w:tcPr/>
          <w:p>
            <w:pPr>
              <w:pStyle w:val="Compact"/>
              <w:jc w:val="left"/>
            </w:pPr>
            <w:r>
              <w:t xml:space="preserve">Object, eater relation, and live approach permission</w:t>
            </w:r>
          </w:p>
        </w:tc>
      </w:tr>
    </w:tbl>
    <w:p>
      <w:pPr>
        <w:pStyle w:val="BodyText"/>
      </w:pPr>
      <w:r>
        <w:t xml:space="preserve">The stack relation can be compressed:</w:t>
      </w:r>
    </w:p>
    <w:p>
      <w:pPr>
        <w:pStyle w:val="SourceCode"/>
      </w:pPr>
      <w:r>
        <w:rPr>
          <w:rStyle w:val="VerbatimChar"/>
        </w:rPr>
        <w:t xml:space="preserve">Elves Shelved:</w:t>
      </w:r>
      <w:r>
        <w:br/>
      </w:r>
      <w:r>
        <w:rPr>
          <w:rStyle w:val="VerbatimChar"/>
        </w:rPr>
        <w:t xml:space="preserve">origin can stay shelved</w:t>
      </w:r>
      <w:r>
        <w:br/>
      </w:r>
      <w:r>
        <w:br/>
      </w:r>
      <w:r>
        <w:rPr>
          <w:rStyle w:val="VerbatimChar"/>
        </w:rPr>
        <w:t xml:space="preserve">Good Bad Reader:</w:t>
      </w:r>
      <w:r>
        <w:br/>
      </w:r>
      <w:r>
        <w:rPr>
          <w:rStyle w:val="VerbatimChar"/>
        </w:rPr>
        <w:t xml:space="preserve">forecast the likely swap</w:t>
      </w:r>
      <w:r>
        <w:br/>
      </w:r>
      <w:r>
        <w:br/>
      </w:r>
      <w:r>
        <w:rPr>
          <w:rStyle w:val="VerbatimChar"/>
        </w:rPr>
        <w:t xml:space="preserve">Evidence Is Not Person:</w:t>
      </w:r>
      <w:r>
        <w:br/>
      </w:r>
      <w:r>
        <w:rPr>
          <w:rStyle w:val="VerbatimChar"/>
        </w:rPr>
        <w:t xml:space="preserve">fragment is not person</w:t>
      </w:r>
      <w:r>
        <w:br/>
      </w:r>
      <w:r>
        <w:br/>
      </w:r>
      <w:r>
        <w:rPr>
          <w:rStyle w:val="VerbatimChar"/>
        </w:rPr>
        <w:t xml:space="preserve">Psychosis_Gate:</w:t>
      </w:r>
      <w:r>
        <w:br/>
      </w:r>
      <w:r>
        <w:rPr>
          <w:rStyle w:val="VerbatimChar"/>
        </w:rPr>
        <w:t xml:space="preserve">strange speech is not invalidity</w:t>
      </w:r>
      <w:r>
        <w:br/>
      </w:r>
      <w:r>
        <w:br/>
      </w:r>
      <w:r>
        <w:rPr>
          <w:rStyle w:val="VerbatimChar"/>
        </w:rPr>
        <w:t xml:space="preserve">Mogric Reading:</w:t>
      </w:r>
      <w:r>
        <w:br/>
      </w:r>
      <w:r>
        <w:rPr>
          <w:rStyle w:val="VerbatimChar"/>
        </w:rPr>
        <w:t xml:space="preserve">read without collapse</w:t>
      </w:r>
      <w:r>
        <w:br/>
      </w:r>
      <w:r>
        <w:br/>
      </w:r>
      <w:r>
        <w:rPr>
          <w:rStyle w:val="VerbatimChar"/>
        </w:rPr>
        <w:t xml:space="preserve">MOGRI / DRAGI / IMAMI:</w:t>
      </w:r>
      <w:r>
        <w:br/>
      </w:r>
      <w:r>
        <w:rPr>
          <w:rStyle w:val="VerbatimChar"/>
        </w:rPr>
        <w:t xml:space="preserve">critical custody patches</w:t>
      </w:r>
    </w:p>
    <w:p>
      <w:pPr>
        <w:pStyle w:val="FirstParagraph"/>
      </w:pPr>
      <w:r>
        <w:t xml:space="preserve">The Good Bad Reader sits early in the route because it helps decide what must be fenced before release. It is not the final judge. It is the pressure-test at the door.</w:t>
      </w:r>
    </w:p>
    <w:bookmarkEnd w:id="31"/>
    <w:bookmarkStart w:id="32" w:name="minimal-protocol"/>
    <w:p>
      <w:pPr>
        <w:pStyle w:val="Heading2"/>
      </w:pPr>
      <w:r>
        <w:t xml:space="preserve">11. Minimal protocol</w:t>
      </w:r>
    </w:p>
    <w:p>
      <w:pPr>
        <w:pStyle w:val="FirstParagraph"/>
      </w:pPr>
      <w:r>
        <w:t xml:space="preserve">A compact publication protocol can be written as follows:</w:t>
      </w:r>
    </w:p>
    <w:p>
      <w:pPr>
        <w:pStyle w:val="Compact"/>
        <w:numPr>
          <w:ilvl w:val="0"/>
          <w:numId w:val="1002"/>
        </w:numPr>
      </w:pPr>
      <w:r>
        <w:t xml:space="preserve">State the object in one sentence.</w:t>
      </w:r>
    </w:p>
    <w:p>
      <w:pPr>
        <w:pStyle w:val="Compact"/>
        <w:numPr>
          <w:ilvl w:val="0"/>
          <w:numId w:val="1002"/>
        </w:numPr>
      </w:pPr>
      <w:r>
        <w:t xml:space="preserve">State the nearest false reading in one sentence.</w:t>
      </w:r>
    </w:p>
    <w:p>
      <w:pPr>
        <w:pStyle w:val="Compact"/>
        <w:numPr>
          <w:ilvl w:val="0"/>
          <w:numId w:val="1002"/>
        </w:numPr>
      </w:pPr>
      <w:r>
        <w:t xml:space="preserve">Add a fence against that reading.</w:t>
      </w:r>
    </w:p>
    <w:p>
      <w:pPr>
        <w:pStyle w:val="Compact"/>
        <w:numPr>
          <w:ilvl w:val="0"/>
          <w:numId w:val="1002"/>
        </w:numPr>
      </w:pPr>
      <w:r>
        <w:t xml:space="preserve">Resume the object.</w:t>
      </w:r>
    </w:p>
    <w:p>
      <w:pPr>
        <w:pStyle w:val="Compact"/>
        <w:numPr>
          <w:ilvl w:val="0"/>
          <w:numId w:val="1002"/>
        </w:numPr>
      </w:pPr>
      <w:r>
        <w:t xml:space="preserve">After drafting, ask whether the fence has grown into the paper.</w:t>
      </w:r>
    </w:p>
    <w:p>
      <w:pPr>
        <w:pStyle w:val="Compact"/>
        <w:numPr>
          <w:ilvl w:val="0"/>
          <w:numId w:val="1002"/>
        </w:numPr>
      </w:pPr>
      <w:r>
        <w:t xml:space="preserve">If yes, cut the fence back.</w:t>
      </w:r>
    </w:p>
    <w:p>
      <w:pPr>
        <w:pStyle w:val="Compact"/>
        <w:numPr>
          <w:ilvl w:val="0"/>
          <w:numId w:val="1002"/>
        </w:numPr>
      </w:pPr>
      <w:r>
        <w:t xml:space="preserve">If no, leave it as the guard at the door.</w:t>
      </w:r>
    </w:p>
    <w:p>
      <w:pPr>
        <w:pStyle w:val="FirstParagraph"/>
      </w:pPr>
      <w:r>
        <w:t xml:space="preserve">The protocol can be used before publication, before prompting an LLM, before sending a paper to a reader, or before turning a field note into a public version.</w:t>
      </w:r>
    </w:p>
    <w:p>
      <w:pPr>
        <w:pStyle w:val="BodyText"/>
      </w:pPr>
      <w:r>
        <w:t xml:space="preserve">For example:</w:t>
      </w:r>
    </w:p>
    <w:p>
      <w:pPr>
        <w:pStyle w:val="BodyText"/>
      </w:pPr>
      <w:r>
        <w:t xml:space="preserve">Object: A benefit-facing drug signal was not repeated.</w:t>
      </w:r>
    </w:p>
    <w:p>
      <w:pPr>
        <w:pStyle w:val="BodyText"/>
      </w:pPr>
      <w:r>
        <w:t xml:space="preserve">Nearest false reading: The author is giving drug advice.</w:t>
      </w:r>
    </w:p>
    <w:p>
      <w:pPr>
        <w:pStyle w:val="BodyText"/>
      </w:pPr>
      <w:r>
        <w:t xml:space="preserve">Fence: This paper is not advice and does not treat the signal as proof. It asks why a repeat did not occur within a reasonable window.</w:t>
      </w:r>
    </w:p>
    <w:p>
      <w:pPr>
        <w:pStyle w:val="BodyText"/>
      </w:pPr>
      <w:r>
        <w:t xml:space="preserve">Resume: The repeat expectation clock starts when a forbidden reading is interesting enough to require public warning.</w:t>
      </w:r>
    </w:p>
    <w:p>
      <w:pPr>
        <w:pStyle w:val="BodyText"/>
      </w:pPr>
      <w:r>
        <w:t xml:space="preserve">That is enough. The paper can now move.</w:t>
      </w:r>
    </w:p>
    <w:bookmarkEnd w:id="32"/>
    <w:bookmarkStart w:id="33" w:name="conclusion"/>
    <w:p>
      <w:pPr>
        <w:pStyle w:val="Heading2"/>
      </w:pPr>
      <w:r>
        <w:t xml:space="preserve">12. Conclusion</w:t>
      </w:r>
    </w:p>
    <w:p>
      <w:pPr>
        <w:pStyle w:val="FirstParagraph"/>
      </w:pPr>
      <w:r>
        <w:t xml:space="preserve">A predictable misreading is not noise. It is a design constraint.</w:t>
      </w:r>
    </w:p>
    <w:p>
      <w:pPr>
        <w:pStyle w:val="BodyText"/>
      </w:pPr>
      <w:r>
        <w:t xml:space="preserve">The Good Bad Reader is the reader whose mistake is likely enough that the writer should prepare for it, but not so powerful that the writer should hand over the paper. This method is especially useful for work on altered states, drugs, law, AI, autism, religion, child-adjacent civic resources, and locally governed symbolic systems. In those areas, the wrong parser often arrives before the object.</w:t>
      </w:r>
    </w:p>
    <w:p>
      <w:pPr>
        <w:pStyle w:val="BodyText"/>
      </w:pPr>
      <w:r>
        <w:t xml:space="preserve">Bad-reader design is not cowardice. It is object custody under forecast pressure. It lets a paper keep its force while preventing the most obvious thefts. The aim is not to make the work safe from all misreading. No paper can do that. The aim is to make the intended object harder to steal.</w:t>
      </w:r>
    </w:p>
    <w:p>
      <w:pPr>
        <w:pStyle w:val="BodyText"/>
      </w:pPr>
      <w:r>
        <w:t xml:space="preserve">The Good Bad Reader is therefore both nuisance and instrument. They show where the paper leaks. The writer’s task is not to obey them. The task is to learn where the door needs a latch.</w:t>
      </w:r>
    </w:p>
    <w:bookmarkEnd w:id="33"/>
    <w:bookmarkStart w:id="34" w:name="version-notes-for-v0.002"/>
    <w:p>
      <w:pPr>
        <w:pStyle w:val="Heading2"/>
      </w:pPr>
      <w:r>
        <w:t xml:space="preserve">Version notes for v0.002</w:t>
      </w:r>
    </w:p>
    <w:p>
      <w:pPr>
        <w:pStyle w:val="FirstParagraph"/>
      </w:pPr>
      <w:r>
        <w:t xml:space="preserve">Version 0.002 adds:</w:t>
      </w:r>
    </w:p>
    <w:p>
      <w:pPr>
        <w:pStyle w:val="SourceCode"/>
      </w:pPr>
      <w:r>
        <w:rPr>
          <w:rStyle w:val="VerbatimChar"/>
        </w:rPr>
        <w:t xml:space="preserve">1. A relation-to-MOGRI section.</w:t>
      </w:r>
      <w:r>
        <w:br/>
      </w:r>
      <w:r>
        <w:rPr>
          <w:rStyle w:val="VerbatimChar"/>
        </w:rPr>
        <w:t xml:space="preserve">2. A fence-versus-cage table.</w:t>
      </w:r>
      <w:r>
        <w:br/>
      </w:r>
      <w:r>
        <w:rPr>
          <w:rStyle w:val="VerbatimChar"/>
        </w:rPr>
        <w:t xml:space="preserve">3. A stack-placement table.</w:t>
      </w:r>
      <w:r>
        <w:br/>
      </w:r>
      <w:r>
        <w:rPr>
          <w:rStyle w:val="VerbatimChar"/>
        </w:rPr>
        <w:t xml:space="preserve">4. A common-swap row for MOGRI / DRAGI / IMAMI.</w:t>
      </w:r>
      <w:r>
        <w:br/>
      </w:r>
      <w:r>
        <w:rPr>
          <w:rStyle w:val="VerbatimChar"/>
        </w:rPr>
        <w:t xml:space="preserve">5. The line: A fence is successful when the object continues moving.</w:t>
      </w:r>
    </w:p>
    <w:p>
      <w:pPr>
        <w:pStyle w:val="FirstParagraph"/>
      </w:pPr>
      <w:r>
        <w:t xml:space="preserve">The method remains the same. The Good Bad Reader gets design presence, not veto power.</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2026-06-24T18:22:13Z</dcterms:created>
  <dcterms:modified xsi:type="dcterms:W3CDTF">2026-06-24T18:22:13Z</dcterms:modified>
</cp:coreProperties>
</file>

<file path=docProps/custom.xml><?xml version="1.0" encoding="utf-8"?>
<Properties xmlns="http://schemas.openxmlformats.org/officeDocument/2006/custom-properties" xmlns:vt="http://schemas.openxmlformats.org/officeDocument/2006/docPropsVTypes"/>
</file>