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Gobekli Tepe and the First-Perceived-Wealth Problem</w:t>
      </w:r>
    </w:p>
    <w:p>
      <w:pPr>
        <w:pStyle w:val="Subtitle"/>
        <w:jc w:val="center"/>
      </w:pPr>
      <w:r>
        <w:t>Warning Architecture, Protected Processing, and Proto-Legal Memory at the Farming Hinge</w:t>
      </w:r>
    </w:p>
    <w:p>
      <w:pPr>
        <w:jc w:val="center"/>
      </w:pPr>
      <w:r>
        <w:rPr>
          <w:i/>
          <w:sz w:val="19"/>
        </w:rPr>
        <w:t>Working paper v0.94 | human review draft | 20 May 2026</w:t>
      </w:r>
    </w:p>
    <w:p>
      <w:pPr>
        <w:pStyle w:val="Heading1"/>
        <w:spacing w:before="160" w:after="80"/>
      </w:pPr>
      <w:r>
        <w:t>Abstract</w:t>
      </w:r>
    </w:p>
    <w:p>
      <w:pPr>
        <w:spacing w:after="80" w:line="252" w:lineRule="auto"/>
      </w:pPr>
      <w:r>
        <w:t>This paper does not argue that Gobekli Tepe was mainly a fort, animal trap, person-catcher, hunting office, or storage compound. Version 0.94 extends the human-review draft by sharpening the protected-processing model. Gobekli Tepe cannot be the cause of Gobekli Tepe. If the site is a response, the pressure should be sought in the surrounding food-working landscape: small grain-working spots, caches, seasonal camps, feeder settlements, exposed flour, tired workers, moved grinding kit, and opportunistic attacks on isolated workers.</w:t>
      </w:r>
    </w:p>
    <w:p>
      <w:pPr>
        <w:spacing w:after="80" w:line="252" w:lineRule="auto"/>
      </w:pPr>
      <w:r>
        <w:t>The core reading remains ritual-social: gathering, feasting, death practice, T-pillars as stone persons, animal imagery, social identity, and regional symbolic network. The added layer is first-perceived-wealth raider-risk. The v0.94 addition is that the vulnerable object was not only food. It was the working person embedded in a processing sequence. An isolated grinder or baker carried skill, fatigue, tools, grain access, and possible knowledge of stores or routes. Protected processing therefore guarded both food value and labouring bodies at the moment when value was being made.</w:t>
      </w:r>
    </w:p>
    <w:p>
      <w:pPr>
        <w:spacing w:after="80" w:line="252" w:lineRule="auto"/>
      </w:pPr>
      <w:r>
        <w:t>Monumentality acted as counter-signal: an unignorable display of coalition capacity, ritual authority, labour coordination, and likely retaliation cost. A boar or deer can injure, but it cannot conduct revenge. Human targets belong to remembered social bodies. In this reading, Gobekli Tepe may have helped turn private vulnerability into public consequence: an early proto-legal warning that attacks on protected workers, stores, or processing nodes would be remembered and answered.</w:t>
      </w:r>
    </w:p>
    <w:p>
      <w:pPr>
        <w:pStyle w:val="Heading1"/>
        <w:spacing w:before="160" w:after="80"/>
      </w:pPr>
      <w:r>
        <w:t>Anti-misread note</w:t>
      </w:r>
    </w:p>
    <w:p>
      <w:pPr>
        <w:spacing w:after="80" w:line="252" w:lineRule="auto"/>
      </w:pPr>
      <w:r>
        <w:t>The model does not propose that herds were driven into the central enclosures, that T-pillars were fencing posts, that Gobekli Tepe was a person-catcher, or that ritual was a cover story for economics. The central enclosures remain the ritual core. Any tactical affordance belongs to approaches, thresholds, outer routes, terraces, timber additions, temporary screens, food-adjacent barriers, and feeder-landscape movement, and remains speculative unless field data supports it.</w:t>
      </w:r>
    </w:p>
    <w:p>
      <w:pPr>
        <w:spacing w:after="80" w:line="252" w:lineRule="auto"/>
      </w:pPr>
      <w:r>
        <w:t>Version 0.94 distinguishes two different person-risk claims. It does not claim that the site captured outsiders for labour. It does claim that exposed grain workers in the wider landscape could be seized, coerced, followed, or used to locate stores. That risk helps explain why processing might move toward a watched communal node.</w:t>
      </w:r>
    </w:p>
    <w:p>
      <w:pPr>
        <w:pStyle w:val="Heading1"/>
        <w:spacing w:before="160" w:after="80"/>
      </w:pPr>
      <w:r>
        <w:t>1. Claim status and rank discipline</w:t>
      </w:r>
    </w:p>
    <w:tbl>
      <w:tblPr>
        <w:tblStyle w:val="TableGrid"/>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613"/>
        <w:gridCol w:w="2613"/>
        <w:gridCol w:w="2613"/>
        <w:gridCol w:w="2613"/>
      </w:tblGrid>
      <w:tr>
        <w:tc>
          <w:tcPr>
            <w:tcW w:type="dxa" w:w="1512"/>
            <w:vAlign w:val="top"/>
            <w:shd w:fill="D9EAF7"/>
          </w:tcPr>
          <w:p>
            <w:pPr>
              <w:spacing w:after="0" w:line="240" w:lineRule="auto"/>
            </w:pPr>
            <w:r/>
            <w:r>
              <w:rPr>
                <w:rFonts w:ascii="Arial" w:hAnsi="Arial"/>
                <w:b/>
                <w:sz w:val="14"/>
              </w:rPr>
              <w:t>Rank</w:t>
            </w:r>
          </w:p>
        </w:tc>
        <w:tc>
          <w:tcPr>
            <w:tcW w:type="dxa" w:w="3240"/>
            <w:vAlign w:val="top"/>
            <w:shd w:fill="D9EAF7"/>
          </w:tcPr>
          <w:p>
            <w:pPr>
              <w:spacing w:after="0" w:line="240" w:lineRule="auto"/>
            </w:pPr>
            <w:r/>
            <w:r>
              <w:rPr>
                <w:rFonts w:ascii="Arial" w:hAnsi="Arial"/>
                <w:b/>
                <w:sz w:val="14"/>
              </w:rPr>
              <w:t>Function</w:t>
            </w:r>
          </w:p>
        </w:tc>
        <w:tc>
          <w:tcPr>
            <w:tcW w:type="dxa" w:w="2880"/>
            <w:vAlign w:val="top"/>
            <w:shd w:fill="D9EAF7"/>
          </w:tcPr>
          <w:p>
            <w:pPr>
              <w:spacing w:after="0" w:line="240" w:lineRule="auto"/>
            </w:pPr>
            <w:r/>
            <w:r>
              <w:rPr>
                <w:rFonts w:ascii="Arial" w:hAnsi="Arial"/>
                <w:b/>
                <w:sz w:val="14"/>
              </w:rPr>
              <w:t>Evidence status</w:t>
            </w:r>
          </w:p>
        </w:tc>
        <w:tc>
          <w:tcPr>
            <w:tcW w:type="dxa" w:w="2520"/>
            <w:vAlign w:val="top"/>
            <w:shd w:fill="D9EAF7"/>
          </w:tcPr>
          <w:p>
            <w:pPr>
              <w:spacing w:after="0" w:line="240" w:lineRule="auto"/>
            </w:pPr>
            <w:r/>
            <w:r>
              <w:rPr>
                <w:rFonts w:ascii="Arial" w:hAnsi="Arial"/>
                <w:b/>
                <w:sz w:val="14"/>
              </w:rPr>
              <w:t>Use in v0.94</w:t>
            </w:r>
          </w:p>
        </w:tc>
      </w:tr>
      <w:tr>
        <w:tc>
          <w:tcPr>
            <w:tcW w:type="dxa" w:w="1512"/>
            <w:vAlign w:val="top"/>
          </w:tcPr>
          <w:p>
            <w:pPr>
              <w:spacing w:after="0" w:line="240" w:lineRule="auto"/>
            </w:pPr>
            <w:r/>
            <w:r>
              <w:rPr>
                <w:rFonts w:ascii="Arial" w:hAnsi="Arial"/>
                <w:b w:val="0"/>
                <w:sz w:val="14"/>
              </w:rPr>
              <w:t>Core</w:t>
            </w:r>
          </w:p>
        </w:tc>
        <w:tc>
          <w:tcPr>
            <w:tcW w:type="dxa" w:w="3240"/>
            <w:vAlign w:val="top"/>
          </w:tcPr>
          <w:p>
            <w:pPr>
              <w:spacing w:after="0" w:line="240" w:lineRule="auto"/>
            </w:pPr>
            <w:r/>
            <w:r>
              <w:rPr>
                <w:rFonts w:ascii="Arial" w:hAnsi="Arial"/>
                <w:b w:val="0"/>
                <w:sz w:val="14"/>
              </w:rPr>
              <w:t>Ceremonial gathering, feasting, death practice, T-pillars as stone persons, social identity, regional symbolic network.</w:t>
            </w:r>
          </w:p>
        </w:tc>
        <w:tc>
          <w:tcPr>
            <w:tcW w:type="dxa" w:w="2880"/>
            <w:vAlign w:val="top"/>
          </w:tcPr>
          <w:p>
            <w:pPr>
              <w:spacing w:after="0" w:line="240" w:lineRule="auto"/>
            </w:pPr>
            <w:r/>
            <w:r>
              <w:rPr>
                <w:rFonts w:ascii="Arial" w:hAnsi="Arial"/>
                <w:b w:val="0"/>
                <w:sz w:val="14"/>
              </w:rPr>
              <w:t>Strongest fit to present descriptions.</w:t>
            </w:r>
          </w:p>
        </w:tc>
        <w:tc>
          <w:tcPr>
            <w:tcW w:type="dxa" w:w="2520"/>
            <w:vAlign w:val="top"/>
          </w:tcPr>
          <w:p>
            <w:pPr>
              <w:spacing w:after="0" w:line="240" w:lineRule="auto"/>
            </w:pPr>
            <w:r/>
            <w:r>
              <w:rPr>
                <w:rFonts w:ascii="Arial" w:hAnsi="Arial"/>
                <w:b w:val="0"/>
                <w:sz w:val="14"/>
              </w:rPr>
              <w:t>Main frame. Not replaced.</w:t>
            </w:r>
          </w:p>
        </w:tc>
      </w:tr>
      <w:tr>
        <w:tc>
          <w:tcPr>
            <w:tcW w:type="dxa" w:w="1512"/>
            <w:vAlign w:val="top"/>
          </w:tcPr>
          <w:p>
            <w:pPr>
              <w:spacing w:after="0" w:line="240" w:lineRule="auto"/>
            </w:pPr>
            <w:r/>
            <w:r>
              <w:rPr>
                <w:rFonts w:ascii="Arial" w:hAnsi="Arial"/>
                <w:b w:val="0"/>
                <w:sz w:val="14"/>
              </w:rPr>
              <w:t>Central added layer</w:t>
            </w:r>
          </w:p>
        </w:tc>
        <w:tc>
          <w:tcPr>
            <w:tcW w:type="dxa" w:w="3240"/>
            <w:vAlign w:val="top"/>
          </w:tcPr>
          <w:p>
            <w:pPr>
              <w:spacing w:after="0" w:line="240" w:lineRule="auto"/>
            </w:pPr>
            <w:r/>
            <w:r>
              <w:rPr>
                <w:rFonts w:ascii="Arial" w:hAnsi="Arial"/>
                <w:b w:val="0"/>
                <w:sz w:val="14"/>
              </w:rPr>
              <w:t>First-perceived-wealth raider-risk deterrence: warning, guest-role conversion, intimidation, memory, and rare failed attack.</w:t>
            </w:r>
          </w:p>
        </w:tc>
        <w:tc>
          <w:tcPr>
            <w:tcW w:type="dxa" w:w="2880"/>
            <w:vAlign w:val="top"/>
          </w:tcPr>
          <w:p>
            <w:pPr>
              <w:spacing w:after="0" w:line="240" w:lineRule="auto"/>
            </w:pPr>
            <w:r/>
            <w:r>
              <w:rPr>
                <w:rFonts w:ascii="Arial" w:hAnsi="Arial"/>
                <w:b w:val="0"/>
                <w:sz w:val="14"/>
              </w:rPr>
              <w:t>Compatible and testable, but direct raid proof is absent.</w:t>
            </w:r>
          </w:p>
        </w:tc>
        <w:tc>
          <w:tcPr>
            <w:tcW w:type="dxa" w:w="2520"/>
            <w:vAlign w:val="top"/>
          </w:tcPr>
          <w:p>
            <w:pPr>
              <w:spacing w:after="0" w:line="240" w:lineRule="auto"/>
            </w:pPr>
            <w:r/>
            <w:r>
              <w:rPr>
                <w:rFonts w:ascii="Arial" w:hAnsi="Arial"/>
                <w:b w:val="0"/>
                <w:sz w:val="14"/>
              </w:rPr>
              <w:t>Main new thesis layer.</w:t>
            </w:r>
          </w:p>
        </w:tc>
      </w:tr>
      <w:tr>
        <w:tc>
          <w:tcPr>
            <w:tcW w:type="dxa" w:w="1512"/>
            <w:vAlign w:val="top"/>
          </w:tcPr>
          <w:p>
            <w:pPr>
              <w:spacing w:after="0" w:line="240" w:lineRule="auto"/>
            </w:pPr>
            <w:r/>
            <w:r>
              <w:rPr>
                <w:rFonts w:ascii="Arial" w:hAnsi="Arial"/>
                <w:b w:val="0"/>
                <w:sz w:val="14"/>
              </w:rPr>
              <w:t>Protected processing layer</w:t>
            </w:r>
          </w:p>
        </w:tc>
        <w:tc>
          <w:tcPr>
            <w:tcW w:type="dxa" w:w="3240"/>
            <w:vAlign w:val="top"/>
          </w:tcPr>
          <w:p>
            <w:pPr>
              <w:spacing w:after="0" w:line="240" w:lineRule="auto"/>
            </w:pPr>
            <w:r/>
            <w:r>
              <w:rPr>
                <w:rFonts w:ascii="Arial" w:hAnsi="Arial"/>
                <w:b w:val="0"/>
                <w:sz w:val="14"/>
              </w:rPr>
              <w:t>Safer conversion of grain into higher-value food under social, ritual, and physical cover.</w:t>
            </w:r>
          </w:p>
        </w:tc>
        <w:tc>
          <w:tcPr>
            <w:tcW w:type="dxa" w:w="2880"/>
            <w:vAlign w:val="top"/>
          </w:tcPr>
          <w:p>
            <w:pPr>
              <w:spacing w:after="0" w:line="240" w:lineRule="auto"/>
            </w:pPr>
            <w:r/>
            <w:r>
              <w:rPr>
                <w:rFonts w:ascii="Arial" w:hAnsi="Arial"/>
                <w:b w:val="0"/>
                <w:sz w:val="14"/>
              </w:rPr>
              <w:t>Supported by the unusually large grinding and pounding assemblage, but exact access rules are unknown.</w:t>
            </w:r>
          </w:p>
        </w:tc>
        <w:tc>
          <w:tcPr>
            <w:tcW w:type="dxa" w:w="2520"/>
            <w:vAlign w:val="top"/>
          </w:tcPr>
          <w:p>
            <w:pPr>
              <w:spacing w:after="0" w:line="240" w:lineRule="auto"/>
            </w:pPr>
            <w:r/>
            <w:r>
              <w:rPr>
                <w:rFonts w:ascii="Arial" w:hAnsi="Arial"/>
                <w:b w:val="0"/>
                <w:sz w:val="14"/>
              </w:rPr>
              <w:t>Explains perceived value without requiring large permanent stores.</w:t>
            </w:r>
          </w:p>
        </w:tc>
      </w:tr>
      <w:tr>
        <w:tc>
          <w:tcPr>
            <w:tcW w:type="dxa" w:w="1512"/>
            <w:vAlign w:val="top"/>
          </w:tcPr>
          <w:p>
            <w:pPr>
              <w:spacing w:after="0" w:line="240" w:lineRule="auto"/>
            </w:pPr>
            <w:r/>
            <w:r>
              <w:rPr>
                <w:rFonts w:ascii="Arial" w:hAnsi="Arial"/>
                <w:b w:val="0"/>
                <w:sz w:val="14"/>
              </w:rPr>
              <w:t>Worker-risk layer</w:t>
            </w:r>
          </w:p>
        </w:tc>
        <w:tc>
          <w:tcPr>
            <w:tcW w:type="dxa" w:w="3240"/>
            <w:vAlign w:val="top"/>
          </w:tcPr>
          <w:p>
            <w:pPr>
              <w:spacing w:after="0" w:line="240" w:lineRule="auto"/>
            </w:pPr>
            <w:r/>
            <w:r>
              <w:rPr>
                <w:rFonts w:ascii="Arial" w:hAnsi="Arial"/>
                <w:b w:val="0"/>
                <w:sz w:val="14"/>
              </w:rPr>
              <w:t>Protection of exposed food workers from seizure, coercion, pursuit, and store-location pressure.</w:t>
            </w:r>
          </w:p>
        </w:tc>
        <w:tc>
          <w:tcPr>
            <w:tcW w:type="dxa" w:w="2880"/>
            <w:vAlign w:val="top"/>
          </w:tcPr>
          <w:p>
            <w:pPr>
              <w:spacing w:after="0" w:line="240" w:lineRule="auto"/>
            </w:pPr>
            <w:r/>
            <w:r>
              <w:rPr>
                <w:rFonts w:ascii="Arial" w:hAnsi="Arial"/>
                <w:b w:val="0"/>
                <w:sz w:val="14"/>
              </w:rPr>
              <w:t>A logical risk produced by dispersed processing; archaeological signatures must be sought in the feeder landscape.</w:t>
            </w:r>
          </w:p>
        </w:tc>
        <w:tc>
          <w:tcPr>
            <w:tcW w:type="dxa" w:w="2520"/>
            <w:vAlign w:val="top"/>
          </w:tcPr>
          <w:p>
            <w:pPr>
              <w:spacing w:after="0" w:line="240" w:lineRule="auto"/>
            </w:pPr>
            <w:r/>
            <w:r>
              <w:rPr>
                <w:rFonts w:ascii="Arial" w:hAnsi="Arial"/>
                <w:b w:val="0"/>
                <w:sz w:val="14"/>
              </w:rPr>
              <w:t>Explains why the worker, not only the product, matters.</w:t>
            </w:r>
          </w:p>
        </w:tc>
      </w:tr>
      <w:tr>
        <w:tc>
          <w:tcPr>
            <w:tcW w:type="dxa" w:w="1512"/>
            <w:vAlign w:val="top"/>
          </w:tcPr>
          <w:p>
            <w:pPr>
              <w:spacing w:after="0" w:line="240" w:lineRule="auto"/>
            </w:pPr>
            <w:r/>
            <w:r>
              <w:rPr>
                <w:rFonts w:ascii="Arial" w:hAnsi="Arial"/>
                <w:b w:val="0"/>
                <w:sz w:val="14"/>
              </w:rPr>
              <w:t>Proto-legal memory layer</w:t>
            </w:r>
          </w:p>
        </w:tc>
        <w:tc>
          <w:tcPr>
            <w:tcW w:type="dxa" w:w="3240"/>
            <w:vAlign w:val="top"/>
          </w:tcPr>
          <w:p>
            <w:pPr>
              <w:spacing w:after="0" w:line="240" w:lineRule="auto"/>
            </w:pPr>
            <w:r/>
            <w:r>
              <w:rPr>
                <w:rFonts w:ascii="Arial" w:hAnsi="Arial"/>
                <w:b w:val="0"/>
                <w:sz w:val="14"/>
              </w:rPr>
              <w:t>Public consequence signal: attack on protected workers or stores becomes a remembered group matter.</w:t>
            </w:r>
          </w:p>
        </w:tc>
        <w:tc>
          <w:tcPr>
            <w:tcW w:type="dxa" w:w="2880"/>
            <w:vAlign w:val="top"/>
          </w:tcPr>
          <w:p>
            <w:pPr>
              <w:spacing w:after="0" w:line="240" w:lineRule="auto"/>
            </w:pPr>
            <w:r/>
            <w:r>
              <w:rPr>
                <w:rFonts w:ascii="Arial" w:hAnsi="Arial"/>
                <w:b w:val="0"/>
                <w:sz w:val="14"/>
              </w:rPr>
              <w:t>A cautious interpretation of monumentality, repeated gathering, stone persons, animal imagery, and regional obligation.</w:t>
            </w:r>
          </w:p>
        </w:tc>
        <w:tc>
          <w:tcPr>
            <w:tcW w:type="dxa" w:w="2520"/>
            <w:vAlign w:val="top"/>
          </w:tcPr>
          <w:p>
            <w:pPr>
              <w:spacing w:after="0" w:line="240" w:lineRule="auto"/>
            </w:pPr>
            <w:r/>
            <w:r>
              <w:rPr>
                <w:rFonts w:ascii="Arial" w:hAnsi="Arial"/>
                <w:b w:val="0"/>
                <w:sz w:val="14"/>
              </w:rPr>
              <w:t>Frames warning architecture as stationary social warning, not as a written code.</w:t>
            </w:r>
          </w:p>
        </w:tc>
      </w:tr>
      <w:tr>
        <w:tc>
          <w:tcPr>
            <w:tcW w:type="dxa" w:w="1512"/>
            <w:vAlign w:val="top"/>
          </w:tcPr>
          <w:p>
            <w:pPr>
              <w:spacing w:after="0" w:line="240" w:lineRule="auto"/>
            </w:pPr>
            <w:r/>
            <w:r>
              <w:rPr>
                <w:rFonts w:ascii="Arial" w:hAnsi="Arial"/>
                <w:b w:val="0"/>
                <w:sz w:val="14"/>
              </w:rPr>
              <w:t>Supporting competence layer</w:t>
            </w:r>
          </w:p>
        </w:tc>
        <w:tc>
          <w:tcPr>
            <w:tcW w:type="dxa" w:w="3240"/>
            <w:vAlign w:val="top"/>
          </w:tcPr>
          <w:p>
            <w:pPr>
              <w:spacing w:after="0" w:line="240" w:lineRule="auto"/>
            </w:pPr>
            <w:r/>
            <w:r>
              <w:rPr>
                <w:rFonts w:ascii="Arial" w:hAnsi="Arial"/>
                <w:b w:val="0"/>
                <w:sz w:val="14"/>
              </w:rPr>
              <w:t>Hunting, feasting, animal danger, food processing, coordinated movement, large gatherings.</w:t>
            </w:r>
          </w:p>
        </w:tc>
        <w:tc>
          <w:tcPr>
            <w:tcW w:type="dxa" w:w="2880"/>
            <w:vAlign w:val="top"/>
          </w:tcPr>
          <w:p>
            <w:pPr>
              <w:spacing w:after="0" w:line="240" w:lineRule="auto"/>
            </w:pPr>
            <w:r/>
            <w:r>
              <w:rPr>
                <w:rFonts w:ascii="Arial" w:hAnsi="Arial"/>
                <w:b w:val="0"/>
                <w:sz w:val="14"/>
              </w:rPr>
              <w:t>Supported by fauna, aurochs hunting lesion, gazelle seasonality questions, and grinding/pounding tools.</w:t>
            </w:r>
          </w:p>
        </w:tc>
        <w:tc>
          <w:tcPr>
            <w:tcW w:type="dxa" w:w="2520"/>
            <w:vAlign w:val="top"/>
          </w:tcPr>
          <w:p>
            <w:pPr>
              <w:spacing w:after="0" w:line="240" w:lineRule="auto"/>
            </w:pPr>
            <w:r/>
            <w:r>
              <w:rPr>
                <w:rFonts w:ascii="Arial" w:hAnsi="Arial"/>
                <w:b w:val="0"/>
                <w:sz w:val="14"/>
              </w:rPr>
              <w:t>Shows competence. Does not make an animal-trap model.</w:t>
            </w:r>
          </w:p>
        </w:tc>
      </w:tr>
      <w:tr>
        <w:tc>
          <w:tcPr>
            <w:tcW w:type="dxa" w:w="1512"/>
            <w:vAlign w:val="top"/>
          </w:tcPr>
          <w:p>
            <w:pPr>
              <w:spacing w:after="0" w:line="240" w:lineRule="auto"/>
            </w:pPr>
            <w:r/>
            <w:r>
              <w:rPr>
                <w:rFonts w:ascii="Arial" w:hAnsi="Arial"/>
                <w:b w:val="0"/>
                <w:sz w:val="14"/>
              </w:rPr>
              <w:t>Low-rank mechanisms</w:t>
            </w:r>
          </w:p>
        </w:tc>
        <w:tc>
          <w:tcPr>
            <w:tcW w:type="dxa" w:w="3240"/>
            <w:vAlign w:val="top"/>
          </w:tcPr>
          <w:p>
            <w:pPr>
              <w:spacing w:after="0" w:line="240" w:lineRule="auto"/>
            </w:pPr>
            <w:r/>
            <w:r>
              <w:rPr>
                <w:rFonts w:ascii="Arial" w:hAnsi="Arial"/>
                <w:b w:val="0"/>
                <w:sz w:val="14"/>
              </w:rPr>
              <w:t>Delay-and-drop, reroute, roof or upper-surface failure, predator attraction, mortuary crisis roles.</w:t>
            </w:r>
          </w:p>
        </w:tc>
        <w:tc>
          <w:tcPr>
            <w:tcW w:type="dxa" w:w="2880"/>
            <w:vAlign w:val="top"/>
          </w:tcPr>
          <w:p>
            <w:pPr>
              <w:spacing w:after="0" w:line="240" w:lineRule="auto"/>
            </w:pPr>
            <w:r/>
            <w:r>
              <w:rPr>
                <w:rFonts w:ascii="Arial" w:hAnsi="Arial"/>
                <w:b w:val="0"/>
                <w:sz w:val="14"/>
              </w:rPr>
              <w:t>Unproven. Require route, timber, repair, scatter, and context testing.</w:t>
            </w:r>
          </w:p>
        </w:tc>
        <w:tc>
          <w:tcPr>
            <w:tcW w:type="dxa" w:w="2520"/>
            <w:vAlign w:val="top"/>
          </w:tcPr>
          <w:p>
            <w:pPr>
              <w:spacing w:after="0" w:line="240" w:lineRule="auto"/>
            </w:pPr>
            <w:r/>
            <w:r>
              <w:rPr>
                <w:rFonts w:ascii="Arial" w:hAnsi="Arial"/>
                <w:b w:val="0"/>
                <w:sz w:val="14"/>
              </w:rPr>
              <w:t>Mechanism proposals only.</w:t>
            </w:r>
          </w:p>
        </w:tc>
      </w:tr>
    </w:tbl>
    <w:p>
      <w:pPr>
        <w:spacing w:after="0"/>
      </w:pPr>
    </w:p>
    <w:p>
      <w:pPr>
        <w:spacing w:after="80" w:line="252" w:lineRule="auto"/>
      </w:pPr>
      <w:r>
        <w:t>The paper uses rank discipline: one known role cannot swallow the others. Ritual does not erase use. Use does not erase ritual. Hunting evidence cannot become an animal-trap conclusion. Raider-risk cannot become a person-catcher model. Absence of direct raid proof keeps the raider-risk layer low-rank, not dead.</w:t>
      </w:r>
    </w:p>
    <w:p>
      <w:pPr>
        <w:pStyle w:val="Heading1"/>
        <w:spacing w:before="160" w:after="80"/>
      </w:pPr>
      <w:r>
        <w:t>2. Site baseline and evidence floor</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The evidence floor also includes wild animal remains, animal imagery, direct hunting evidence, scattered human fragments, modified skull material, complex fill histories, and regional T-pillar parallels. These facts support the ritual-social core, the food-processing layer, and the hunt/feast competence layer. They do not, by themselves, prove raider-risk deterrence.</w:t>
      </w:r>
    </w:p>
    <w:p>
      <w:pPr>
        <w:pStyle w:val="Heading1"/>
        <w:spacing w:before="160" w:after="80"/>
      </w:pPr>
      <w:r>
        <w:t>3. The stationary problem: capability was not enough</w:t>
      </w:r>
    </w:p>
    <w:p>
      <w:pPr>
        <w:spacing w:after="80" w:line="252" w:lineRule="auto"/>
      </w:pPr>
      <w: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pPr>
        <w:spacing w:after="80" w:line="252" w:lineRule="auto"/>
      </w:pPr>
      <w: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pPr>
        <w:spacing w:after="80" w:line="252" w:lineRule="auto"/>
      </w:pPr>
      <w:r>
        <w:t>Stationary life also changes the arithmetic of shelter and work. A hundred detached single-room houses require roughly 400 wall-lengths. A 10 by 10 block of attached rooms needs about 220 wall-lengths because walls are shared. This is not a claim about a specific Gobekli Tepe housing plan. It is a scale reminder: clustering near processing, water, watch, storage, dogs, tools, and ritual authority can be driven by mundane wall economy and walking economy as much as by ideology.</w:t>
      </w:r>
    </w:p>
    <w:p>
      <w:pPr>
        <w:spacing w:after="80" w:line="252" w:lineRule="auto"/>
      </w:pPr>
      <w: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spacing w:before="160" w:after="80"/>
      </w:pPr>
      <w:r>
        <w:t>4. Protected processing and the labour-theft payoff</w:t>
      </w:r>
    </w:p>
    <w:p>
      <w:pPr>
        <w:spacing w:after="80" w:line="252" w:lineRule="auto"/>
      </w:pPr>
      <w:r>
        <w:t>The first-perceived-wealth problem is sharpened by processing. Grain in a stand has value. Harvested grain has more value because labour has been added. Flour has still more value because harvesting, transport, dehusking, pounding, grinding, tool wear, and fatigue have been folded into it. Theft of flour steals calories and labour together.</w:t>
      </w:r>
    </w:p>
    <w:p>
      <w:pPr>
        <w:spacing w:after="80" w:line="252" w:lineRule="auto"/>
      </w:pPr>
      <w:r>
        <w:t>Version 0.94 adds a harsher arithmetic. The highest-risk object was not only food. It was the working person inside the food-making sequence. A tired grinder or baker may carry skill, tools, grain access, route knowledge, social information, and possible knowledge of stores. A group approaching such a person does not need to be a specialist raiding class. Opportunistic attackers could control the worker first, then take flour, tools, stores, or directions.</w:t>
      </w:r>
    </w:p>
    <w:p>
      <w:pPr>
        <w:spacing w:after="80" w:line="252" w:lineRule="auto"/>
      </w:pPr>
      <w:r>
        <w:t>This makes dispersed processing more dangerous than simple calorie theft suggests. Sneak theft can become confrontation under bad conditions. A thief who only takes bread is the mild case. A group that takes the baker at distance, then takes stores, is the fitter threat model. Protected communal processing therefore guarded food value, labour value, and the bodies that held both.</w:t>
      </w:r>
    </w:p>
    <w:p>
      <w:pPr>
        <w:spacing w:after="80" w:line="252" w:lineRule="auto"/>
      </w:pPr>
      <w:r>
        <w:t>The unusually large and standardized grinding assemblage at Gobekli Tepe may therefore matter not only as feast evidence, but as evidence of protected conversion: a place where people could turn grain into higher-value food under social, ritual, and physical cover.</w:t>
      </w:r>
    </w:p>
    <w:p>
      <w:pPr>
        <w:spacing w:after="80" w:line="252" w:lineRule="auto"/>
      </w:pPr>
      <w:r>
        <w:t>The raider-risk layer need not begin with organised enemies. It may begin with observation. A mobile group can learn that grain gatherers become more vulnerable after harvest, when grain is carried, processed, and converted into flour or bread-like food. If those opportunists then observe that processing no longer happens at scattered vulnerable locations but increasingly at Gobekli Tepe, the site becomes worth testing. In this model, the first attackers are not a formal raider class. They are people whose profitable theft pattern has been disrupted by protected processing.</w:t>
      </w:r>
    </w:p>
    <w:p>
      <w:pPr>
        <w:spacing w:after="80" w:line="252" w:lineRule="auto"/>
      </w:pPr>
      <w:r>
        <w:t>A protected processing node also creates contribution logic without requiring a later state tax. People may bring grain, grind near allies and watchers, take processed food away, and return a share as feast support, labour obligation, ritual contribution, or social debt. The site value lies not only in what it stored, but in what it made safer to process.</w:t>
      </w:r>
    </w:p>
    <w:p>
      <w:pPr>
        <w:pStyle w:val="Heading1"/>
        <w:spacing w:before="160" w:after="80"/>
      </w:pPr>
      <w:r>
        <w:t>5. External pressure and the feeder landscape</w:t>
      </w:r>
    </w:p>
    <w:p>
      <w:pPr>
        <w:spacing w:after="80" w:line="252" w:lineRule="auto"/>
      </w:pPr>
      <w:r>
        <w:t>The model should not expect the strongest attack evidence at Gobekli Tepe itself. If the site was a successful response to the first-perceived-wealth problem, then the triggering pressure may be better sought in the surrounding landscape: smaller processing stations, seasonal camps, minor stores, caches, grain-working zones, and feeder settlements. Gobekli Tepe is not the cause of Gobekli Tepe. It is the architectural and ritual answer to a risk first generated elsewhere.</w:t>
      </w:r>
    </w:p>
    <w:p>
      <w:pPr>
        <w:spacing w:after="80" w:line="252" w:lineRule="auto"/>
      </w:pPr>
      <w:r>
        <w:t>This changes the evidence expectation. The relevant pattern would be movement from dispersed vulnerable processing toward protected communal processing. Signs of attack, threat, abandonment, hurried relocation, burned caches, damaged bins, patched hollows, missing grinding kit, route stress, incoming projectile fragments, or unusual absence of workers at exposed food-working spots may be more likely around minor food-processing places than inside the monumental core. A lack of attack traces at Gobekli Tepe would not defeat the model if the site reduced the very risk that produced it.</w:t>
      </w:r>
    </w:p>
    <w:p>
      <w:pPr>
        <w:spacing w:after="80" w:line="252" w:lineRule="auto"/>
      </w:pPr>
      <w:r>
        <w:t>The worker-risk layer makes the feeder landscape more important. Stores can be hidden or emptied. A tired worker on a return route, at a grinding hollow, or near a minor cache is harder to protect alone. This predicts evidence of relocation, paired processing, watched paths, tool movement, or increasing attraction toward communal food-work nodes rather than a simple fortress signature.</w:t>
      </w:r>
    </w:p>
    <w:p>
      <w:pPr>
        <w:pStyle w:val="Heading1"/>
        <w:spacing w:before="160" w:after="80"/>
      </w:pPr>
      <w:r>
        <w:t>6. Event-rate realism: attackers need not succeed</w:t>
      </w:r>
    </w:p>
    <w:p>
      <w:pPr>
        <w:spacing w:after="80" w:line="252" w:lineRule="auto"/>
      </w:pPr>
      <w:r>
        <w:t>The model does not require repeated successful raids. It requires stress events, occasional attempts, and remembered failure. Across a long use-life and a regional gathering catchment, bad winters, failed hunts, missed gazelle pulses, disease, drought pockets, broken exchange relations, injuries, and disrupted theft patterns could generate raider pressure many times without producing many battle layers at the core site.</w:t>
      </w:r>
    </w:p>
    <w:p>
      <w:pPr>
        <w:spacing w:after="80" w:line="252" w:lineRule="auto"/>
      </w:pPr>
      <w:r>
        <w:t>One early incident could teach the resident group where the system nearly failed. A later failed attempt could create warning memory. After that, most of the work may be done by reputation, guest-role conversion, avoidance, bargaining, joining, or aborted approaches. The stone does not need to fall often if the story keeps falling.</w:t>
      </w:r>
    </w:p>
    <w:p>
      <w:pPr>
        <w:pStyle w:val="Heading1"/>
        <w:spacing w:before="160" w:after="80"/>
      </w:pPr>
      <w:r>
        <w:t>7. Proto-law, revenge memory, and stationary warning</w:t>
      </w:r>
    </w:p>
    <w:p>
      <w:pPr>
        <w:spacing w:after="80" w:line="252" w:lineRule="auto"/>
      </w:pPr>
      <w:r>
        <w:t>Boar and deer are dangerous prey, but they are not dangerous in the same social way. They can injure or kill. They cannot conduct revenge, remember a grievance across kin groups, or turn a single attack into a lasting relation between communities. A human worker is different. To seize that person is to touch a remembered social body.</w:t>
      </w:r>
    </w:p>
    <w:p>
      <w:pPr>
        <w:spacing w:after="80" w:line="252" w:lineRule="auto"/>
      </w:pPr>
      <w:r>
        <w:t>This is where warning architecture becomes more than intimidation. Monumental symbolism may have helped convert private vulnerability into public consequence. The stone persons, animal powers, repeated gatherings, food work, and regional T-pillar echo could state that an attack on protected workers, stores, or processing routes was not a private incident. It would be remembered by more than the victim and answered by more than the victim.</w:t>
      </w:r>
    </w:p>
    <w:p>
      <w:pPr>
        <w:spacing w:after="80" w:line="252" w:lineRule="auto"/>
      </w:pPr>
      <w:r>
        <w:t>This should be framed cautiously as a proto-legal signal, not as a law code, court, state, or police system. The relevant principle is simple: do not attack this protected social body, because consequence is organised, witnessed, and remembered. In this sense, the site can be read as stationary warning. A wall materialises possible force in place. A law materialises warning and consequence in society. Gobekli Tepe may sit near that hinge: not only a barrier or shrine, but an enshrined promise that certain harms would travel as group memory.</w:t>
      </w:r>
    </w:p>
    <w:p>
      <w:pPr>
        <w:pStyle w:val="Heading1"/>
        <w:spacing w:before="160" w:after="80"/>
      </w:pPr>
      <w:r>
        <w:t>8. Ritual core, psychological threshold, and outer routes</w:t>
      </w:r>
    </w:p>
    <w:p>
      <w:pPr>
        <w:spacing w:after="80" w:line="252" w:lineRule="auto"/>
      </w:pPr>
      <w:r>
        <w:t>The central enclosures are the ritual core, not the proposed combat chamber. Their inward-facing design, central stone persons, benches, animal imagery, and death-practice associations support gathering, memory, and attention. Any tactical affordance should be looked for in approaches, threshold zones, terraces, outer routes, temporary timber, screens, and food-adjacent barriers.</w:t>
      </w:r>
    </w:p>
    <w:p>
      <w:pPr>
        <w:spacing w:after="80" w:line="252" w:lineRule="auto"/>
      </w:pPr>
      <w:r>
        <w:t>The threshold mechanism is psychological before it is mechanical. Human attackers are not herd animals. They can see a bottleneck, argue, hesitate, scout, or retreat. The model only needs a brief high-stress pause at a charged boundary: hunger meets taboo, fear, visible reward, dogs, stone persons, watchers, height, noise, and uncertainty. A short delay can remove surprise and give resident watchmen time to signal, gather, or act from better ground.</w:t>
      </w:r>
    </w:p>
    <w:p>
      <w:r>
        <w:br w:type="page"/>
      </w:r>
    </w:p>
    <w:p>
      <w:pPr>
        <w:pStyle w:val="Heading1"/>
        <w:spacing w:before="160" w:after="80"/>
      </w:pPr>
      <w:r>
        <w:t>9. Metrics and scale checks</w:t>
      </w:r>
    </w:p>
    <w:p>
      <w:pPr>
        <w:spacing w:after="80" w:line="252" w:lineRule="auto"/>
      </w:pPr>
      <w: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3485"/>
        <w:gridCol w:w="3485"/>
        <w:gridCol w:w="3485"/>
      </w:tblGrid>
      <w:tr>
        <w:tc>
          <w:tcPr>
            <w:tcW w:type="dxa" w:w="2232"/>
            <w:vAlign w:val="top"/>
            <w:shd w:fill="D9EAF7"/>
          </w:tcPr>
          <w:p>
            <w:pPr>
              <w:spacing w:after="0" w:line="240" w:lineRule="auto"/>
            </w:pPr>
            <w:r/>
            <w:r>
              <w:rPr>
                <w:rFonts w:ascii="Arial" w:hAnsi="Arial"/>
                <w:b/>
                <w:sz w:val="14"/>
              </w:rPr>
              <w:t>Feature or quantity</w:t>
            </w:r>
          </w:p>
        </w:tc>
        <w:tc>
          <w:tcPr>
            <w:tcW w:type="dxa" w:w="3960"/>
            <w:vAlign w:val="top"/>
            <w:shd w:fill="D9EAF7"/>
          </w:tcPr>
          <w:p>
            <w:pPr>
              <w:spacing w:after="0" w:line="240" w:lineRule="auto"/>
            </w:pPr>
            <w:r/>
            <w:r>
              <w:rPr>
                <w:rFonts w:ascii="Arial" w:hAnsi="Arial"/>
                <w:b/>
                <w:sz w:val="14"/>
              </w:rPr>
              <w:t>Scale check</w:t>
            </w:r>
          </w:p>
        </w:tc>
        <w:tc>
          <w:tcPr>
            <w:tcW w:type="dxa" w:w="3960"/>
            <w:vAlign w:val="top"/>
            <w:shd w:fill="D9EAF7"/>
          </w:tcPr>
          <w:p>
            <w:pPr>
              <w:spacing w:after="0" w:line="240" w:lineRule="auto"/>
            </w:pPr>
            <w:r/>
            <w:r>
              <w:rPr>
                <w:rFonts w:ascii="Arial" w:hAnsi="Arial"/>
                <w:b/>
                <w:sz w:val="14"/>
              </w:rPr>
              <w:t>Interpretive use</w:t>
            </w:r>
          </w:p>
        </w:tc>
      </w:tr>
      <w:tr>
        <w:tc>
          <w:tcPr>
            <w:tcW w:type="dxa" w:w="2232"/>
            <w:vAlign w:val="top"/>
          </w:tcPr>
          <w:p>
            <w:pPr>
              <w:spacing w:after="0" w:line="240" w:lineRule="auto"/>
            </w:pPr>
            <w:r/>
            <w:r>
              <w:rPr>
                <w:rFonts w:ascii="Arial" w:hAnsi="Arial"/>
                <w:b w:val="0"/>
                <w:sz w:val="14"/>
              </w:rPr>
              <w:t>Circular floor area</w:t>
            </w:r>
          </w:p>
        </w:tc>
        <w:tc>
          <w:tcPr>
            <w:tcW w:type="dxa" w:w="3960"/>
            <w:vAlign w:val="top"/>
          </w:tcPr>
          <w:p>
            <w:pPr>
              <w:spacing w:after="0" w:line="240" w:lineRule="auto"/>
            </w:pPr>
            <w:r/>
            <w:r>
              <w:rPr>
                <w:rFonts w:ascii="Arial" w:hAnsi="Arial"/>
                <w:b w:val="0"/>
                <w:sz w:val="14"/>
              </w:rPr>
              <w:t>10 m diameter: c. 78.5 m2; 15 m: c. 176.7 m2; 20 m: c. 314.2 m2.</w:t>
            </w:r>
          </w:p>
        </w:tc>
        <w:tc>
          <w:tcPr>
            <w:tcW w:type="dxa" w:w="3960"/>
            <w:vAlign w:val="top"/>
          </w:tcPr>
          <w:p>
            <w:pPr>
              <w:spacing w:after="0" w:line="240" w:lineRule="auto"/>
            </w:pPr>
            <w:r/>
            <w:r>
              <w:rPr>
                <w:rFonts w:ascii="Arial" w:hAnsi="Arial"/>
                <w:b w:val="0"/>
                <w:sz w:val="14"/>
              </w:rPr>
              <w:t>Sets event and gathering scale. Not animal-trap proof.</w:t>
            </w:r>
          </w:p>
        </w:tc>
      </w:tr>
      <w:tr>
        <w:tc>
          <w:tcPr>
            <w:tcW w:type="dxa" w:w="2232"/>
            <w:vAlign w:val="top"/>
          </w:tcPr>
          <w:p>
            <w:pPr>
              <w:spacing w:after="0" w:line="240" w:lineRule="auto"/>
            </w:pPr>
            <w:r/>
            <w:r>
              <w:rPr>
                <w:rFonts w:ascii="Arial" w:hAnsi="Arial"/>
                <w:b w:val="0"/>
                <w:sz w:val="14"/>
              </w:rPr>
              <w:t>Workable gathering capacity</w:t>
            </w:r>
          </w:p>
        </w:tc>
        <w:tc>
          <w:tcPr>
            <w:tcW w:type="dxa" w:w="3960"/>
            <w:vAlign w:val="top"/>
          </w:tcPr>
          <w:p>
            <w:pPr>
              <w:spacing w:after="0" w:line="240" w:lineRule="auto"/>
            </w:pPr>
            <w:r/>
            <w:r>
              <w:rPr>
                <w:rFonts w:ascii="Arial" w:hAnsi="Arial"/>
                <w:b w:val="0"/>
                <w:sz w:val="14"/>
              </w:rPr>
              <w:t>At 1.5 m2 per person: c. 52, 118, or 209 people for 10, 15, or 20 m diameter.</w:t>
            </w:r>
          </w:p>
        </w:tc>
        <w:tc>
          <w:tcPr>
            <w:tcW w:type="dxa" w:w="3960"/>
            <w:vAlign w:val="top"/>
          </w:tcPr>
          <w:p>
            <w:pPr>
              <w:spacing w:after="0" w:line="240" w:lineRule="auto"/>
            </w:pPr>
            <w:r/>
            <w:r>
              <w:rPr>
                <w:rFonts w:ascii="Arial" w:hAnsi="Arial"/>
                <w:b w:val="0"/>
                <w:sz w:val="14"/>
              </w:rPr>
              <w:t>Witness, feast, ritual, or crowd capacity.</w:t>
            </w:r>
          </w:p>
        </w:tc>
      </w:tr>
      <w:tr>
        <w:tc>
          <w:tcPr>
            <w:tcW w:type="dxa" w:w="2232"/>
            <w:vAlign w:val="top"/>
          </w:tcPr>
          <w:p>
            <w:pPr>
              <w:spacing w:after="0" w:line="240" w:lineRule="auto"/>
            </w:pPr>
            <w:r/>
            <w:r>
              <w:rPr>
                <w:rFonts w:ascii="Arial" w:hAnsi="Arial"/>
                <w:b w:val="0"/>
                <w:sz w:val="14"/>
              </w:rPr>
              <w:t>Narrow approach queue</w:t>
            </w:r>
          </w:p>
        </w:tc>
        <w:tc>
          <w:tcPr>
            <w:tcW w:type="dxa" w:w="3960"/>
            <w:vAlign w:val="top"/>
          </w:tcPr>
          <w:p>
            <w:pPr>
              <w:spacing w:after="0" w:line="240" w:lineRule="auto"/>
            </w:pPr>
            <w:r/>
            <w:r>
              <w:rPr>
                <w:rFonts w:ascii="Arial" w:hAnsi="Arial"/>
                <w:b w:val="0"/>
                <w:sz w:val="14"/>
              </w:rPr>
              <w:t>5 m x 1.2 m can hold roughly 6-10 bunched people.</w:t>
            </w:r>
          </w:p>
        </w:tc>
        <w:tc>
          <w:tcPr>
            <w:tcW w:type="dxa" w:w="3960"/>
            <w:vAlign w:val="top"/>
          </w:tcPr>
          <w:p>
            <w:pPr>
              <w:spacing w:after="0" w:line="240" w:lineRule="auto"/>
            </w:pPr>
            <w:r/>
            <w:r>
              <w:rPr>
                <w:rFonts w:ascii="Arial" w:hAnsi="Arial"/>
                <w:b w:val="0"/>
                <w:sz w:val="14"/>
              </w:rPr>
              <w:t>Tests whether a small vanguard could be paused or exposed.</w:t>
            </w:r>
          </w:p>
        </w:tc>
      </w:tr>
      <w:tr>
        <w:tc>
          <w:tcPr>
            <w:tcW w:type="dxa" w:w="2232"/>
            <w:vAlign w:val="top"/>
          </w:tcPr>
          <w:p>
            <w:pPr>
              <w:spacing w:after="0" w:line="240" w:lineRule="auto"/>
            </w:pPr>
            <w:r/>
            <w:r>
              <w:rPr>
                <w:rFonts w:ascii="Arial" w:hAnsi="Arial"/>
                <w:b w:val="0"/>
                <w:sz w:val="14"/>
              </w:rPr>
              <w:t>Drop or blockage strip</w:t>
            </w:r>
          </w:p>
        </w:tc>
        <w:tc>
          <w:tcPr>
            <w:tcW w:type="dxa" w:w="3960"/>
            <w:vAlign w:val="top"/>
          </w:tcPr>
          <w:p>
            <w:pPr>
              <w:spacing w:after="0" w:line="240" w:lineRule="auto"/>
            </w:pPr>
            <w:r/>
            <w:r>
              <w:rPr>
                <w:rFonts w:ascii="Arial" w:hAnsi="Arial"/>
                <w:b w:val="0"/>
                <w:sz w:val="14"/>
              </w:rPr>
              <w:t>4 m x 1 m affects a front cluster, not an army.</w:t>
            </w:r>
          </w:p>
        </w:tc>
        <w:tc>
          <w:tcPr>
            <w:tcW w:type="dxa" w:w="3960"/>
            <w:vAlign w:val="top"/>
          </w:tcPr>
          <w:p>
            <w:pPr>
              <w:spacing w:after="0" w:line="240" w:lineRule="auto"/>
            </w:pPr>
            <w:r/>
            <w:r>
              <w:rPr>
                <w:rFonts w:ascii="Arial" w:hAnsi="Arial"/>
                <w:b w:val="0"/>
                <w:sz w:val="14"/>
              </w:rPr>
              <w:t>Keeps tactical claims small-scale.</w:t>
            </w:r>
          </w:p>
        </w:tc>
      </w:tr>
      <w:tr>
        <w:tc>
          <w:tcPr>
            <w:tcW w:type="dxa" w:w="2232"/>
            <w:vAlign w:val="top"/>
          </w:tcPr>
          <w:p>
            <w:pPr>
              <w:spacing w:after="0" w:line="240" w:lineRule="auto"/>
            </w:pPr>
            <w:r/>
            <w:r>
              <w:rPr>
                <w:rFonts w:ascii="Arial" w:hAnsi="Arial"/>
                <w:b w:val="0"/>
                <w:sz w:val="14"/>
              </w:rPr>
              <w:t>Dry cereal storage</w:t>
            </w:r>
          </w:p>
        </w:tc>
        <w:tc>
          <w:tcPr>
            <w:tcW w:type="dxa" w:w="3960"/>
            <w:vAlign w:val="top"/>
          </w:tcPr>
          <w:p>
            <w:pPr>
              <w:spacing w:after="0" w:line="240" w:lineRule="auto"/>
            </w:pPr>
            <w:r/>
            <w:r>
              <w:rPr>
                <w:rFonts w:ascii="Arial" w:hAnsi="Arial"/>
                <w:b w:val="0"/>
                <w:sz w:val="14"/>
              </w:rPr>
              <w:t>A rough cereal density of c. 700-800 kg/m3 and c. 3400 kcal/kg means 1 m3 can represent c. 2.4-2.7 million kcal.</w:t>
            </w:r>
          </w:p>
        </w:tc>
        <w:tc>
          <w:tcPr>
            <w:tcW w:type="dxa" w:w="3960"/>
            <w:vAlign w:val="top"/>
          </w:tcPr>
          <w:p>
            <w:pPr>
              <w:spacing w:after="0" w:line="240" w:lineRule="auto"/>
            </w:pPr>
            <w:r/>
            <w:r>
              <w:rPr>
                <w:rFonts w:ascii="Arial" w:hAnsi="Arial"/>
                <w:b w:val="0"/>
                <w:sz w:val="14"/>
              </w:rPr>
              <w:t>Shows why even modest perceived stores could matter. Actual stores require evidence.</w:t>
            </w:r>
          </w:p>
        </w:tc>
      </w:tr>
      <w:tr>
        <w:tc>
          <w:tcPr>
            <w:tcW w:type="dxa" w:w="2232"/>
            <w:vAlign w:val="top"/>
          </w:tcPr>
          <w:p>
            <w:pPr>
              <w:spacing w:after="0" w:line="240" w:lineRule="auto"/>
            </w:pPr>
            <w:r/>
            <w:r>
              <w:rPr>
                <w:rFonts w:ascii="Arial" w:hAnsi="Arial"/>
                <w:b w:val="0"/>
                <w:sz w:val="14"/>
              </w:rPr>
              <w:t>Protected processing value</w:t>
            </w:r>
          </w:p>
        </w:tc>
        <w:tc>
          <w:tcPr>
            <w:tcW w:type="dxa" w:w="3960"/>
            <w:vAlign w:val="top"/>
          </w:tcPr>
          <w:p>
            <w:pPr>
              <w:spacing w:after="0" w:line="240" w:lineRule="auto"/>
            </w:pPr>
            <w:r/>
            <w:r>
              <w:rPr>
                <w:rFonts w:ascii="Arial" w:hAnsi="Arial"/>
                <w:b w:val="0"/>
                <w:sz w:val="14"/>
              </w:rPr>
              <w:t>One common handstone type has been experimentally reported at about 4.8 kg flour in eight working hours. [2]</w:t>
            </w:r>
          </w:p>
        </w:tc>
        <w:tc>
          <w:tcPr>
            <w:tcW w:type="dxa" w:w="3960"/>
            <w:vAlign w:val="top"/>
          </w:tcPr>
          <w:p>
            <w:pPr>
              <w:spacing w:after="0" w:line="240" w:lineRule="auto"/>
            </w:pPr>
            <w:r/>
            <w:r>
              <w:rPr>
                <w:rFonts w:ascii="Arial" w:hAnsi="Arial"/>
                <w:b w:val="0"/>
                <w:sz w:val="14"/>
              </w:rPr>
              <w:t>Flour carries calories plus grinding labour, fatigue, and tool wear.</w:t>
            </w:r>
          </w:p>
        </w:tc>
      </w:tr>
      <w:tr>
        <w:tc>
          <w:tcPr>
            <w:tcW w:type="dxa" w:w="2232"/>
            <w:vAlign w:val="top"/>
          </w:tcPr>
          <w:p>
            <w:pPr>
              <w:spacing w:after="0" w:line="240" w:lineRule="auto"/>
            </w:pPr>
            <w:r/>
            <w:r>
              <w:rPr>
                <w:rFonts w:ascii="Arial" w:hAnsi="Arial"/>
                <w:b w:val="0"/>
                <w:sz w:val="14"/>
              </w:rPr>
              <w:t>Worker-risk value</w:t>
            </w:r>
          </w:p>
        </w:tc>
        <w:tc>
          <w:tcPr>
            <w:tcW w:type="dxa" w:w="3960"/>
            <w:vAlign w:val="top"/>
          </w:tcPr>
          <w:p>
            <w:pPr>
              <w:spacing w:after="0" w:line="240" w:lineRule="auto"/>
            </w:pPr>
            <w:r/>
            <w:r>
              <w:rPr>
                <w:rFonts w:ascii="Arial" w:hAnsi="Arial"/>
                <w:b w:val="0"/>
                <w:sz w:val="14"/>
              </w:rPr>
              <w:t>One seized skilled worker can expose tools, routes, store locations, kin obligations, and timing.</w:t>
            </w:r>
          </w:p>
        </w:tc>
        <w:tc>
          <w:tcPr>
            <w:tcW w:type="dxa" w:w="3960"/>
            <w:vAlign w:val="top"/>
          </w:tcPr>
          <w:p>
            <w:pPr>
              <w:spacing w:after="0" w:line="240" w:lineRule="auto"/>
            </w:pPr>
            <w:r/>
            <w:r>
              <w:rPr>
                <w:rFonts w:ascii="Arial" w:hAnsi="Arial"/>
                <w:b w:val="0"/>
                <w:sz w:val="14"/>
              </w:rPr>
              <w:t>Shows why worker protection can matter more than bread theft alone.</w:t>
            </w:r>
          </w:p>
        </w:tc>
      </w:tr>
      <w:tr>
        <w:tc>
          <w:tcPr>
            <w:tcW w:type="dxa" w:w="2232"/>
            <w:vAlign w:val="top"/>
          </w:tcPr>
          <w:p>
            <w:pPr>
              <w:spacing w:after="0" w:line="240" w:lineRule="auto"/>
            </w:pPr>
            <w:r/>
            <w:r>
              <w:rPr>
                <w:rFonts w:ascii="Arial" w:hAnsi="Arial"/>
                <w:b w:val="0"/>
                <w:sz w:val="14"/>
              </w:rPr>
              <w:t>Wall economy</w:t>
            </w:r>
          </w:p>
        </w:tc>
        <w:tc>
          <w:tcPr>
            <w:tcW w:type="dxa" w:w="3960"/>
            <w:vAlign w:val="top"/>
          </w:tcPr>
          <w:p>
            <w:pPr>
              <w:spacing w:after="0" w:line="240" w:lineRule="auto"/>
            </w:pPr>
            <w:r/>
            <w:r>
              <w:rPr>
                <w:rFonts w:ascii="Arial" w:hAnsi="Arial"/>
                <w:b w:val="0"/>
                <w:sz w:val="14"/>
              </w:rPr>
              <w:t>100 detached rooms: c. 400 outer wall-lengths. A 10 by 10 attached block: c. 220 wall-lengths.</w:t>
            </w:r>
          </w:p>
        </w:tc>
        <w:tc>
          <w:tcPr>
            <w:tcW w:type="dxa" w:w="3960"/>
            <w:vAlign w:val="top"/>
          </w:tcPr>
          <w:p>
            <w:pPr>
              <w:spacing w:after="0" w:line="240" w:lineRule="auto"/>
            </w:pPr>
            <w:r/>
            <w:r>
              <w:rPr>
                <w:rFonts w:ascii="Arial" w:hAnsi="Arial"/>
                <w:b w:val="0"/>
                <w:sz w:val="14"/>
              </w:rPr>
              <w:t>Shows why clustered work and dwelling spaces can become attractive without requiring ideology as the first cause.</w:t>
            </w:r>
          </w:p>
        </w:tc>
      </w:tr>
      <w:tr>
        <w:tc>
          <w:tcPr>
            <w:tcW w:type="dxa" w:w="2232"/>
            <w:vAlign w:val="top"/>
          </w:tcPr>
          <w:p>
            <w:pPr>
              <w:spacing w:after="0" w:line="240" w:lineRule="auto"/>
            </w:pPr>
            <w:r/>
            <w:r>
              <w:rPr>
                <w:rFonts w:ascii="Arial" w:hAnsi="Arial"/>
                <w:b w:val="0"/>
                <w:sz w:val="14"/>
              </w:rPr>
              <w:t>Bone mineral value</w:t>
            </w:r>
          </w:p>
        </w:tc>
        <w:tc>
          <w:tcPr>
            <w:tcW w:type="dxa" w:w="3960"/>
            <w:vAlign w:val="top"/>
          </w:tcPr>
          <w:p>
            <w:pPr>
              <w:spacing w:after="0" w:line="240" w:lineRule="auto"/>
            </w:pPr>
            <w:r/>
            <w:r>
              <w:rPr>
                <w:rFonts w:ascii="Arial" w:hAnsi="Arial"/>
                <w:b w:val="0"/>
                <w:sz w:val="14"/>
              </w:rPr>
              <w:t>Bone stores calcium and phosphorus; processed bone meal can be calcium-rich. [15-17]</w:t>
            </w:r>
          </w:p>
        </w:tc>
        <w:tc>
          <w:tcPr>
            <w:tcW w:type="dxa" w:w="3960"/>
            <w:vAlign w:val="top"/>
          </w:tcPr>
          <w:p>
            <w:pPr>
              <w:spacing w:after="0" w:line="240" w:lineRule="auto"/>
            </w:pPr>
            <w:r/>
            <w:r>
              <w:rPr>
                <w:rFonts w:ascii="Arial" w:hAnsi="Arial"/>
                <w:b w:val="0"/>
                <w:sz w:val="14"/>
              </w:rPr>
              <w:t>Resident delayed value, tool stock, animal feed, trace-loss pathway. Not primary raider bait.</w:t>
            </w:r>
          </w:p>
        </w:tc>
      </w:tr>
    </w:tbl>
    <w:p>
      <w:pPr>
        <w:spacing w:after="0"/>
      </w:pPr>
    </w:p>
    <w:p>
      <w:pPr>
        <w:pStyle w:val="Heading1"/>
        <w:spacing w:before="160" w:after="80"/>
      </w:pPr>
      <w:r>
        <w:t>10. Testing plan: lead with multi-proxy threshold evidence</w:t>
      </w:r>
    </w:p>
    <w:p>
      <w:pPr>
        <w:spacing w:after="80" w:line="252" w:lineRule="auto"/>
      </w:pPr>
      <w:r>
        <w:t>The strongest test plan is not a hunt for heroic artifacts. It is a multi-proxy threshold study.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3485"/>
        <w:gridCol w:w="3485"/>
        <w:gridCol w:w="3485"/>
      </w:tblGrid>
      <w:tr>
        <w:tc>
          <w:tcPr>
            <w:tcW w:type="dxa" w:w="2088"/>
            <w:vAlign w:val="top"/>
            <w:shd w:fill="D9EAF7"/>
          </w:tcPr>
          <w:p>
            <w:pPr>
              <w:spacing w:after="0" w:line="240" w:lineRule="auto"/>
            </w:pPr>
            <w:r/>
            <w:r>
              <w:rPr>
                <w:rFonts w:ascii="Arial" w:hAnsi="Arial"/>
                <w:b/>
                <w:sz w:val="14"/>
              </w:rPr>
              <w:t>Test target</w:t>
            </w:r>
          </w:p>
        </w:tc>
        <w:tc>
          <w:tcPr>
            <w:tcW w:type="dxa" w:w="4392"/>
            <w:vAlign w:val="top"/>
            <w:shd w:fill="D9EAF7"/>
          </w:tcPr>
          <w:p>
            <w:pPr>
              <w:spacing w:after="0" w:line="240" w:lineRule="auto"/>
            </w:pPr>
            <w:r/>
            <w:r>
              <w:rPr>
                <w:rFonts w:ascii="Arial" w:hAnsi="Arial"/>
                <w:b/>
                <w:sz w:val="14"/>
              </w:rPr>
              <w:t>What to look for</w:t>
            </w:r>
          </w:p>
        </w:tc>
        <w:tc>
          <w:tcPr>
            <w:tcW w:type="dxa" w:w="3672"/>
            <w:vAlign w:val="top"/>
            <w:shd w:fill="D9EAF7"/>
          </w:tcPr>
          <w:p>
            <w:pPr>
              <w:spacing w:after="0" w:line="240" w:lineRule="auto"/>
            </w:pPr>
            <w:r/>
            <w:r>
              <w:rPr>
                <w:rFonts w:ascii="Arial" w:hAnsi="Arial"/>
                <w:b/>
                <w:sz w:val="14"/>
              </w:rPr>
              <w:t>What it would resolve</w:t>
            </w:r>
          </w:p>
        </w:tc>
      </w:tr>
      <w:tr>
        <w:tc>
          <w:tcPr>
            <w:tcW w:type="dxa" w:w="2088"/>
            <w:vAlign w:val="top"/>
          </w:tcPr>
          <w:p>
            <w:pPr>
              <w:spacing w:after="0" w:line="240" w:lineRule="auto"/>
            </w:pPr>
            <w:r/>
            <w:r>
              <w:rPr>
                <w:rFonts w:ascii="Arial" w:hAnsi="Arial"/>
                <w:b w:val="0"/>
                <w:sz w:val="14"/>
              </w:rPr>
              <w:t>Impact-diagnostic traces</w:t>
            </w:r>
          </w:p>
        </w:tc>
        <w:tc>
          <w:tcPr>
            <w:tcW w:type="dxa" w:w="4392"/>
            <w:vAlign w:val="top"/>
          </w:tcPr>
          <w:p>
            <w:pPr>
              <w:spacing w:after="0" w:line="240" w:lineRule="auto"/>
            </w:pPr>
            <w:r/>
            <w:r>
              <w:rPr>
                <w:rFonts w:ascii="Arial" w:hAnsi="Arial"/>
                <w:b w:val="0"/>
                <w:sz w:val="14"/>
              </w:rPr>
              <w:t>Impact-shattered lithic fragments, embedded tip fragments, fracture-wing geometry, step terminations, limestone spalling or micro-striations.</w:t>
            </w:r>
          </w:p>
        </w:tc>
        <w:tc>
          <w:tcPr>
            <w:tcW w:type="dxa" w:w="3672"/>
            <w:vAlign w:val="top"/>
          </w:tcPr>
          <w:p>
            <w:pPr>
              <w:spacing w:after="0" w:line="240" w:lineRule="auto"/>
            </w:pPr>
            <w:r/>
            <w:r>
              <w:rPr>
                <w:rFonts w:ascii="Arial" w:hAnsi="Arial"/>
                <w:b w:val="0"/>
                <w:sz w:val="14"/>
              </w:rPr>
              <w:t>Whether approach zones preserve violent-contact signals beyond ordinary tool work.</w:t>
            </w:r>
          </w:p>
        </w:tc>
      </w:tr>
      <w:tr>
        <w:tc>
          <w:tcPr>
            <w:tcW w:type="dxa" w:w="2088"/>
            <w:vAlign w:val="top"/>
          </w:tcPr>
          <w:p>
            <w:pPr>
              <w:spacing w:after="0" w:line="240" w:lineRule="auto"/>
            </w:pPr>
            <w:r/>
            <w:r>
              <w:rPr>
                <w:rFonts w:ascii="Arial" w:hAnsi="Arial"/>
                <w:b w:val="0"/>
                <w:sz w:val="14"/>
              </w:rPr>
              <w:t>Taphonomic filter</w:t>
            </w:r>
          </w:p>
        </w:tc>
        <w:tc>
          <w:tcPr>
            <w:tcW w:type="dxa" w:w="4392"/>
            <w:vAlign w:val="top"/>
          </w:tcPr>
          <w:p>
            <w:pPr>
              <w:spacing w:after="0" w:line="240" w:lineRule="auto"/>
            </w:pPr>
            <w:r/>
            <w:r>
              <w:rPr>
                <w:rFonts w:ascii="Arial" w:hAnsi="Arial"/>
                <w:b w:val="0"/>
                <w:sz w:val="14"/>
              </w:rPr>
              <w:t>Compare organic residues with stone-surface damage, lithic damage, repair, route placement, fill sequence, and scavenger disturbance.</w:t>
            </w:r>
          </w:p>
        </w:tc>
        <w:tc>
          <w:tcPr>
            <w:tcW w:type="dxa" w:w="3672"/>
            <w:vAlign w:val="top"/>
          </w:tcPr>
          <w:p>
            <w:pPr>
              <w:spacing w:after="0" w:line="240" w:lineRule="auto"/>
            </w:pPr>
            <w:r/>
            <w:r>
              <w:rPr>
                <w:rFonts w:ascii="Arial" w:hAnsi="Arial"/>
                <w:b w:val="0"/>
                <w:sz w:val="14"/>
              </w:rPr>
              <w:t>Whether residue patterns survive animal and domestic noise.</w:t>
            </w:r>
          </w:p>
        </w:tc>
      </w:tr>
      <w:tr>
        <w:tc>
          <w:tcPr>
            <w:tcW w:type="dxa" w:w="2088"/>
            <w:vAlign w:val="top"/>
          </w:tcPr>
          <w:p>
            <w:pPr>
              <w:spacing w:after="0" w:line="240" w:lineRule="auto"/>
            </w:pPr>
            <w:r/>
            <w:r>
              <w:rPr>
                <w:rFonts w:ascii="Arial" w:hAnsi="Arial"/>
                <w:b w:val="0"/>
                <w:sz w:val="14"/>
              </w:rPr>
              <w:t>Route overlay</w:t>
            </w:r>
          </w:p>
        </w:tc>
        <w:tc>
          <w:tcPr>
            <w:tcW w:type="dxa" w:w="4392"/>
            <w:vAlign w:val="top"/>
          </w:tcPr>
          <w:p>
            <w:pPr>
              <w:spacing w:after="0" w:line="240" w:lineRule="auto"/>
            </w:pPr>
            <w:r/>
            <w:r>
              <w:rPr>
                <w:rFonts w:ascii="Arial" w:hAnsi="Arial"/>
                <w:b w:val="0"/>
                <w:sz w:val="14"/>
              </w:rPr>
              <w:t>Approaches, thresholds, benches, terraces, possible platforms, outer routes, and reroutes.</w:t>
            </w:r>
          </w:p>
        </w:tc>
        <w:tc>
          <w:tcPr>
            <w:tcW w:type="dxa" w:w="3672"/>
            <w:vAlign w:val="top"/>
          </w:tcPr>
          <w:p>
            <w:pPr>
              <w:spacing w:after="0" w:line="240" w:lineRule="auto"/>
            </w:pPr>
            <w:r/>
            <w:r>
              <w:rPr>
                <w:rFonts w:ascii="Arial" w:hAnsi="Arial"/>
                <w:b w:val="0"/>
                <w:sz w:val="14"/>
              </w:rPr>
              <w:t>Whether people could be delayed, observed, bunched, or redirected.</w:t>
            </w:r>
          </w:p>
        </w:tc>
      </w:tr>
      <w:tr>
        <w:tc>
          <w:tcPr>
            <w:tcW w:type="dxa" w:w="2088"/>
            <w:vAlign w:val="top"/>
          </w:tcPr>
          <w:p>
            <w:pPr>
              <w:spacing w:after="0" w:line="240" w:lineRule="auto"/>
            </w:pPr>
            <w:r/>
            <w:r>
              <w:rPr>
                <w:rFonts w:ascii="Arial" w:hAnsi="Arial"/>
                <w:b w:val="0"/>
                <w:sz w:val="14"/>
              </w:rPr>
              <w:t>Map placeholder</w:t>
            </w:r>
          </w:p>
        </w:tc>
        <w:tc>
          <w:tcPr>
            <w:tcW w:type="dxa" w:w="4392"/>
            <w:vAlign w:val="top"/>
          </w:tcPr>
          <w:p>
            <w:pPr>
              <w:spacing w:after="0" w:line="240" w:lineRule="auto"/>
            </w:pPr>
            <w:r/>
            <w:r>
              <w:rPr>
                <w:rFonts w:ascii="Arial" w:hAnsi="Arial"/>
                <w:b w:val="0"/>
                <w:sz w:val="14"/>
              </w:rPr>
              <w:t>Figure 1: approach-route overlay showing outer routes, charged thresholds, higher observation points, pause zones, and sampling areas.</w:t>
            </w:r>
          </w:p>
        </w:tc>
        <w:tc>
          <w:tcPr>
            <w:tcW w:type="dxa" w:w="3672"/>
            <w:vAlign w:val="top"/>
          </w:tcPr>
          <w:p>
            <w:pPr>
              <w:spacing w:after="0" w:line="240" w:lineRule="auto"/>
            </w:pPr>
            <w:r/>
            <w:r>
              <w:rPr>
                <w:rFonts w:ascii="Arial" w:hAnsi="Arial"/>
                <w:b w:val="0"/>
                <w:sz w:val="14"/>
              </w:rPr>
              <w:t>Visual test plan for v1.0 or data-hunt stage.</w:t>
            </w:r>
          </w:p>
        </w:tc>
      </w:tr>
      <w:tr>
        <w:tc>
          <w:tcPr>
            <w:tcW w:type="dxa" w:w="2088"/>
            <w:vAlign w:val="top"/>
          </w:tcPr>
          <w:p>
            <w:pPr>
              <w:spacing w:after="0" w:line="240" w:lineRule="auto"/>
            </w:pPr>
            <w:r/>
            <w:r>
              <w:rPr>
                <w:rFonts w:ascii="Arial" w:hAnsi="Arial"/>
                <w:b w:val="0"/>
                <w:sz w:val="14"/>
              </w:rPr>
              <w:t>Protected processing map</w:t>
            </w:r>
          </w:p>
        </w:tc>
        <w:tc>
          <w:tcPr>
            <w:tcW w:type="dxa" w:w="4392"/>
            <w:vAlign w:val="top"/>
          </w:tcPr>
          <w:p>
            <w:pPr>
              <w:spacing w:after="0" w:line="240" w:lineRule="auto"/>
            </w:pPr>
            <w:r/>
            <w:r>
              <w:rPr>
                <w:rFonts w:ascii="Arial" w:hAnsi="Arial"/>
                <w:b w:val="0"/>
                <w:sz w:val="14"/>
              </w:rPr>
              <w:t>Grinding tools, work surfaces, discard, paths, water, possible containers, screens, and watch points.</w:t>
            </w:r>
          </w:p>
        </w:tc>
        <w:tc>
          <w:tcPr>
            <w:tcW w:type="dxa" w:w="3672"/>
            <w:vAlign w:val="top"/>
          </w:tcPr>
          <w:p>
            <w:pPr>
              <w:spacing w:after="0" w:line="240" w:lineRule="auto"/>
            </w:pPr>
            <w:r/>
            <w:r>
              <w:rPr>
                <w:rFonts w:ascii="Arial" w:hAnsi="Arial"/>
                <w:b w:val="0"/>
                <w:sz w:val="14"/>
              </w:rPr>
              <w:t>Whether processing clustered in ways that made safety, contribution, or raider-risk plausible.</w:t>
            </w:r>
          </w:p>
        </w:tc>
      </w:tr>
      <w:tr>
        <w:tc>
          <w:tcPr>
            <w:tcW w:type="dxa" w:w="2088"/>
            <w:vAlign w:val="top"/>
          </w:tcPr>
          <w:p>
            <w:pPr>
              <w:spacing w:after="0" w:line="240" w:lineRule="auto"/>
            </w:pPr>
            <w:r/>
            <w:r>
              <w:rPr>
                <w:rFonts w:ascii="Arial" w:hAnsi="Arial"/>
                <w:b w:val="0"/>
                <w:sz w:val="14"/>
              </w:rPr>
              <w:t>Worker-risk landscape</w:t>
            </w:r>
          </w:p>
        </w:tc>
        <w:tc>
          <w:tcPr>
            <w:tcW w:type="dxa" w:w="4392"/>
            <w:vAlign w:val="top"/>
          </w:tcPr>
          <w:p>
            <w:pPr>
              <w:spacing w:after="0" w:line="240" w:lineRule="auto"/>
            </w:pPr>
            <w:r/>
            <w:r>
              <w:rPr>
                <w:rFonts w:ascii="Arial" w:hAnsi="Arial"/>
                <w:b w:val="0"/>
                <w:sz w:val="14"/>
              </w:rPr>
              <w:t>Isolated grinding hollows, exposed return routes, missing or moved grinding kit, paired work, watched paths, sudden relocation from scattered food work.</w:t>
            </w:r>
          </w:p>
        </w:tc>
        <w:tc>
          <w:tcPr>
            <w:tcW w:type="dxa" w:w="3672"/>
            <w:vAlign w:val="top"/>
          </w:tcPr>
          <w:p>
            <w:pPr>
              <w:spacing w:after="0" w:line="240" w:lineRule="auto"/>
            </w:pPr>
            <w:r/>
            <w:r>
              <w:rPr>
                <w:rFonts w:ascii="Arial" w:hAnsi="Arial"/>
                <w:b w:val="0"/>
                <w:sz w:val="14"/>
              </w:rPr>
              <w:t>Whether the threat target was worker plus product rather than product alone.</w:t>
            </w:r>
          </w:p>
        </w:tc>
      </w:tr>
      <w:tr>
        <w:tc>
          <w:tcPr>
            <w:tcW w:type="dxa" w:w="2088"/>
            <w:vAlign w:val="top"/>
          </w:tcPr>
          <w:p>
            <w:pPr>
              <w:spacing w:after="0" w:line="240" w:lineRule="auto"/>
            </w:pPr>
            <w:r/>
            <w:r>
              <w:rPr>
                <w:rFonts w:ascii="Arial" w:hAnsi="Arial"/>
                <w:b w:val="0"/>
                <w:sz w:val="14"/>
              </w:rPr>
              <w:t>Proto-legal signal</w:t>
            </w:r>
          </w:p>
        </w:tc>
        <w:tc>
          <w:tcPr>
            <w:tcW w:type="dxa" w:w="4392"/>
            <w:vAlign w:val="top"/>
          </w:tcPr>
          <w:p>
            <w:pPr>
              <w:spacing w:after="0" w:line="240" w:lineRule="auto"/>
            </w:pPr>
            <w:r/>
            <w:r>
              <w:rPr>
                <w:rFonts w:ascii="Arial" w:hAnsi="Arial"/>
                <w:b w:val="0"/>
                <w:sz w:val="14"/>
              </w:rPr>
              <w:t>Repeated threshold symbolism, stone-person focus, animal threat imagery, gathering recurrence, and regional echo around protected food work.</w:t>
            </w:r>
          </w:p>
        </w:tc>
        <w:tc>
          <w:tcPr>
            <w:tcW w:type="dxa" w:w="3672"/>
            <w:vAlign w:val="top"/>
          </w:tcPr>
          <w:p>
            <w:pPr>
              <w:spacing w:after="0" w:line="240" w:lineRule="auto"/>
            </w:pPr>
            <w:r/>
            <w:r>
              <w:rPr>
                <w:rFonts w:ascii="Arial" w:hAnsi="Arial"/>
                <w:b w:val="0"/>
                <w:sz w:val="14"/>
              </w:rPr>
              <w:t>Whether warning and consequence were materially staged, not merely implied.</w:t>
            </w:r>
          </w:p>
        </w:tc>
      </w:tr>
      <w:tr>
        <w:tc>
          <w:tcPr>
            <w:tcW w:type="dxa" w:w="2088"/>
            <w:vAlign w:val="top"/>
          </w:tcPr>
          <w:p>
            <w:pPr>
              <w:spacing w:after="0" w:line="240" w:lineRule="auto"/>
            </w:pPr>
            <w:r/>
            <w:r>
              <w:rPr>
                <w:rFonts w:ascii="Arial" w:hAnsi="Arial"/>
                <w:b w:val="0"/>
                <w:sz w:val="14"/>
              </w:rPr>
              <w:t>Visitors</w:t>
            </w:r>
          </w:p>
        </w:tc>
        <w:tc>
          <w:tcPr>
            <w:tcW w:type="dxa" w:w="4392"/>
            <w:vAlign w:val="top"/>
          </w:tcPr>
          <w:p>
            <w:pPr>
              <w:spacing w:after="0" w:line="240" w:lineRule="auto"/>
            </w:pPr>
            <w:r/>
            <w:r>
              <w:rPr>
                <w:rFonts w:ascii="Arial" w:hAnsi="Arial"/>
                <w:b w:val="0"/>
                <w:sz w:val="14"/>
              </w:rPr>
              <w:t>Isotopes, non-local materials, style links, exchange objects.</w:t>
            </w:r>
          </w:p>
        </w:tc>
        <w:tc>
          <w:tcPr>
            <w:tcW w:type="dxa" w:w="3672"/>
            <w:vAlign w:val="top"/>
          </w:tcPr>
          <w:p>
            <w:pPr>
              <w:spacing w:after="0" w:line="240" w:lineRule="auto"/>
            </w:pPr>
            <w:r/>
            <w:r>
              <w:rPr>
                <w:rFonts w:ascii="Arial" w:hAnsi="Arial"/>
                <w:b w:val="0"/>
                <w:sz w:val="14"/>
              </w:rPr>
              <w:t>Who came, from how far, and under which seasonal conditions.</w:t>
            </w:r>
          </w:p>
        </w:tc>
      </w:tr>
      <w:tr>
        <w:tc>
          <w:tcPr>
            <w:tcW w:type="dxa" w:w="2088"/>
            <w:vAlign w:val="top"/>
          </w:tcPr>
          <w:p>
            <w:pPr>
              <w:spacing w:after="0" w:line="240" w:lineRule="auto"/>
            </w:pPr>
            <w:r/>
            <w:r>
              <w:rPr>
                <w:rFonts w:ascii="Arial" w:hAnsi="Arial"/>
                <w:b w:val="0"/>
                <w:sz w:val="14"/>
              </w:rPr>
              <w:t>Feeder landscape</w:t>
            </w:r>
          </w:p>
        </w:tc>
        <w:tc>
          <w:tcPr>
            <w:tcW w:type="dxa" w:w="4392"/>
            <w:vAlign w:val="top"/>
          </w:tcPr>
          <w:p>
            <w:pPr>
              <w:spacing w:after="0" w:line="240" w:lineRule="auto"/>
            </w:pPr>
            <w:r/>
            <w:r>
              <w:rPr>
                <w:rFonts w:ascii="Arial" w:hAnsi="Arial"/>
                <w:b w:val="0"/>
                <w:sz w:val="14"/>
              </w:rPr>
              <w:t>Small processing stations, caches, minor stores, seasonal camps, damaged bins, moved grinding kit, burned or abandoned food-working zones.</w:t>
            </w:r>
          </w:p>
        </w:tc>
        <w:tc>
          <w:tcPr>
            <w:tcW w:type="dxa" w:w="3672"/>
            <w:vAlign w:val="top"/>
          </w:tcPr>
          <w:p>
            <w:pPr>
              <w:spacing w:after="0" w:line="240" w:lineRule="auto"/>
            </w:pPr>
            <w:r/>
            <w:r>
              <w:rPr>
                <w:rFonts w:ascii="Arial" w:hAnsi="Arial"/>
                <w:b w:val="0"/>
                <w:sz w:val="14"/>
              </w:rPr>
              <w:t>Whether the pressure that produced the protected node appears outside the monumental core.</w:t>
            </w:r>
          </w:p>
        </w:tc>
      </w:tr>
    </w:tbl>
    <w:p>
      <w:pPr>
        <w:spacing w:after="0"/>
      </w:pPr>
    </w:p>
    <w:p>
      <w:r>
        <w:br w:type="page"/>
      </w:r>
    </w:p>
    <w:p>
      <w:pPr>
        <w:pStyle w:val="Heading1"/>
        <w:spacing w:before="160" w:after="80"/>
      </w:pPr>
      <w:r>
        <w:t>11. Evidence matrix</w:t>
      </w:r>
    </w:p>
    <w:tbl>
      <w:tblPr>
        <w:tblStyle w:val="TableGrid"/>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613"/>
        <w:gridCol w:w="2613"/>
        <w:gridCol w:w="2613"/>
        <w:gridCol w:w="2613"/>
      </w:tblGrid>
      <w:tr>
        <w:tc>
          <w:tcPr>
            <w:tcW w:type="dxa" w:w="1656"/>
            <w:vAlign w:val="top"/>
            <w:shd w:fill="D9EAF7"/>
          </w:tcPr>
          <w:p>
            <w:pPr>
              <w:spacing w:after="0" w:line="240" w:lineRule="auto"/>
            </w:pPr>
            <w:r/>
            <w:r>
              <w:rPr>
                <w:rFonts w:ascii="Arial" w:hAnsi="Arial"/>
                <w:b/>
                <w:sz w:val="13"/>
              </w:rPr>
              <w:t>Strand</w:t>
            </w:r>
          </w:p>
        </w:tc>
        <w:tc>
          <w:tcPr>
            <w:tcW w:type="dxa" w:w="3384"/>
            <w:vAlign w:val="top"/>
            <w:shd w:fill="D9EAF7"/>
          </w:tcPr>
          <w:p>
            <w:pPr>
              <w:spacing w:after="0" w:line="240" w:lineRule="auto"/>
            </w:pPr>
            <w:r/>
            <w:r>
              <w:rPr>
                <w:rFonts w:ascii="Arial" w:hAnsi="Arial"/>
                <w:b/>
                <w:sz w:val="13"/>
              </w:rPr>
              <w:t>Anchor</w:t>
            </w:r>
          </w:p>
        </w:tc>
        <w:tc>
          <w:tcPr>
            <w:tcW w:type="dxa" w:w="2880"/>
            <w:vAlign w:val="top"/>
            <w:shd w:fill="D9EAF7"/>
          </w:tcPr>
          <w:p>
            <w:pPr>
              <w:spacing w:after="0" w:line="240" w:lineRule="auto"/>
            </w:pPr>
            <w:r/>
            <w:r>
              <w:rPr>
                <w:rFonts w:ascii="Arial" w:hAnsi="Arial"/>
                <w:b/>
                <w:sz w:val="13"/>
              </w:rPr>
              <w:t>Supports</w:t>
            </w:r>
          </w:p>
        </w:tc>
        <w:tc>
          <w:tcPr>
            <w:tcW w:type="dxa" w:w="2232"/>
            <w:vAlign w:val="top"/>
            <w:shd w:fill="D9EAF7"/>
          </w:tcPr>
          <w:p>
            <w:pPr>
              <w:spacing w:after="0" w:line="240" w:lineRule="auto"/>
            </w:pPr>
            <w:r/>
            <w:r>
              <w:rPr>
                <w:rFonts w:ascii="Arial" w:hAnsi="Arial"/>
                <w:b/>
                <w:sz w:val="13"/>
              </w:rPr>
              <w:t>Limit</w:t>
            </w:r>
          </w:p>
        </w:tc>
      </w:tr>
      <w:tr>
        <w:tc>
          <w:tcPr>
            <w:tcW w:type="dxa" w:w="1656"/>
            <w:vAlign w:val="top"/>
          </w:tcPr>
          <w:p>
            <w:pPr>
              <w:spacing w:after="0" w:line="240" w:lineRule="auto"/>
            </w:pPr>
            <w:r/>
            <w:r>
              <w:rPr>
                <w:rFonts w:ascii="Arial" w:hAnsi="Arial"/>
                <w:b w:val="0"/>
                <w:sz w:val="13"/>
              </w:rPr>
              <w:t>Architecture</w:t>
            </w:r>
          </w:p>
        </w:tc>
        <w:tc>
          <w:tcPr>
            <w:tcW w:type="dxa" w:w="3384"/>
            <w:vAlign w:val="top"/>
          </w:tcPr>
          <w:p>
            <w:pPr>
              <w:spacing w:after="0" w:line="240" w:lineRule="auto"/>
            </w:pPr>
            <w:r/>
            <w:r>
              <w:rPr>
                <w:rFonts w:ascii="Arial" w:hAnsi="Arial"/>
                <w:b w:val="0"/>
                <w:sz w:val="13"/>
              </w:rPr>
              <w:t>Round-oval buildings c. 10-20 m inner diameter; central pillars up to 5.5 m; benches and wall-set pillars. [1], [2]</w:t>
            </w:r>
          </w:p>
        </w:tc>
        <w:tc>
          <w:tcPr>
            <w:tcW w:type="dxa" w:w="2880"/>
            <w:vAlign w:val="top"/>
          </w:tcPr>
          <w:p>
            <w:pPr>
              <w:spacing w:after="0" w:line="240" w:lineRule="auto"/>
            </w:pPr>
            <w:r/>
            <w:r>
              <w:rPr>
                <w:rFonts w:ascii="Arial" w:hAnsi="Arial"/>
                <w:b w:val="0"/>
                <w:sz w:val="13"/>
              </w:rPr>
              <w:t>Gathering, visibility, route shaping, possible timber staging.</w:t>
            </w:r>
          </w:p>
        </w:tc>
        <w:tc>
          <w:tcPr>
            <w:tcW w:type="dxa" w:w="2232"/>
            <w:vAlign w:val="top"/>
          </w:tcPr>
          <w:p>
            <w:pPr>
              <w:spacing w:after="0" w:line="240" w:lineRule="auto"/>
            </w:pPr>
            <w:r/>
            <w:r>
              <w:rPr>
                <w:rFonts w:ascii="Arial" w:hAnsi="Arial"/>
                <w:b w:val="0"/>
                <w:sz w:val="13"/>
              </w:rPr>
              <w:t>Does not prove tactical use.</w:t>
            </w:r>
          </w:p>
        </w:tc>
      </w:tr>
      <w:tr>
        <w:tc>
          <w:tcPr>
            <w:tcW w:type="dxa" w:w="1656"/>
            <w:vAlign w:val="top"/>
          </w:tcPr>
          <w:p>
            <w:pPr>
              <w:spacing w:after="0" w:line="240" w:lineRule="auto"/>
            </w:pPr>
            <w:r/>
            <w:r>
              <w:rPr>
                <w:rFonts w:ascii="Arial" w:hAnsi="Arial"/>
                <w:b w:val="0"/>
                <w:sz w:val="13"/>
              </w:rPr>
              <w:t>Food tools</w:t>
            </w:r>
          </w:p>
        </w:tc>
        <w:tc>
          <w:tcPr>
            <w:tcW w:type="dxa" w:w="3384"/>
            <w:vAlign w:val="top"/>
          </w:tcPr>
          <w:p>
            <w:pPr>
              <w:spacing w:after="0" w:line="240" w:lineRule="auto"/>
            </w:pPr>
            <w:r/>
            <w:r>
              <w:rPr>
                <w:rFonts w:ascii="Arial" w:hAnsi="Arial"/>
                <w:b w:val="0"/>
                <w:sz w:val="13"/>
              </w:rPr>
              <w:t>More than 7000 grinding and pounding artifacts, mostly cereal-related. [2]</w:t>
            </w:r>
          </w:p>
        </w:tc>
        <w:tc>
          <w:tcPr>
            <w:tcW w:type="dxa" w:w="2880"/>
            <w:vAlign w:val="top"/>
          </w:tcPr>
          <w:p>
            <w:pPr>
              <w:spacing w:after="0" w:line="240" w:lineRule="auto"/>
            </w:pPr>
            <w:r/>
            <w:r>
              <w:rPr>
                <w:rFonts w:ascii="Arial" w:hAnsi="Arial"/>
                <w:b w:val="0"/>
                <w:sz w:val="13"/>
              </w:rPr>
              <w:t>Feasting, labour concentration, resource broadcast, protected processing hypothesis.</w:t>
            </w:r>
          </w:p>
        </w:tc>
        <w:tc>
          <w:tcPr>
            <w:tcW w:type="dxa" w:w="2232"/>
            <w:vAlign w:val="top"/>
          </w:tcPr>
          <w:p>
            <w:pPr>
              <w:spacing w:after="0" w:line="240" w:lineRule="auto"/>
            </w:pPr>
            <w:r/>
            <w:r>
              <w:rPr>
                <w:rFonts w:ascii="Arial" w:hAnsi="Arial"/>
                <w:b w:val="0"/>
                <w:sz w:val="13"/>
              </w:rPr>
              <w:t>Large stores not identified in that study.</w:t>
            </w:r>
          </w:p>
        </w:tc>
      </w:tr>
      <w:tr>
        <w:tc>
          <w:tcPr>
            <w:tcW w:type="dxa" w:w="1656"/>
            <w:vAlign w:val="top"/>
          </w:tcPr>
          <w:p>
            <w:pPr>
              <w:spacing w:after="0" w:line="240" w:lineRule="auto"/>
            </w:pPr>
            <w:r/>
            <w:r>
              <w:rPr>
                <w:rFonts w:ascii="Arial" w:hAnsi="Arial"/>
                <w:b w:val="0"/>
                <w:sz w:val="13"/>
              </w:rPr>
              <w:t>Worker-risk landscape</w:t>
            </w:r>
          </w:p>
        </w:tc>
        <w:tc>
          <w:tcPr>
            <w:tcW w:type="dxa" w:w="3384"/>
            <w:vAlign w:val="top"/>
          </w:tcPr>
          <w:p>
            <w:pPr>
              <w:spacing w:after="0" w:line="240" w:lineRule="auto"/>
            </w:pPr>
            <w:r/>
            <w:r>
              <w:rPr>
                <w:rFonts w:ascii="Arial" w:hAnsi="Arial"/>
                <w:b w:val="0"/>
                <w:sz w:val="13"/>
              </w:rPr>
              <w:t>Predicted through feeder sites, routes, moved tools, damaged bins, and relocation patterns rather than current direct proof.</w:t>
            </w:r>
          </w:p>
        </w:tc>
        <w:tc>
          <w:tcPr>
            <w:tcW w:type="dxa" w:w="2880"/>
            <w:vAlign w:val="top"/>
          </w:tcPr>
          <w:p>
            <w:pPr>
              <w:spacing w:after="0" w:line="240" w:lineRule="auto"/>
            </w:pPr>
            <w:r/>
            <w:r>
              <w:rPr>
                <w:rFonts w:ascii="Arial" w:hAnsi="Arial"/>
                <w:b w:val="0"/>
                <w:sz w:val="13"/>
              </w:rPr>
              <w:t>Explains why processing might move inward toward watched communal nodes.</w:t>
            </w:r>
          </w:p>
        </w:tc>
        <w:tc>
          <w:tcPr>
            <w:tcW w:type="dxa" w:w="2232"/>
            <w:vAlign w:val="top"/>
          </w:tcPr>
          <w:p>
            <w:pPr>
              <w:spacing w:after="0" w:line="240" w:lineRule="auto"/>
            </w:pPr>
            <w:r/>
            <w:r>
              <w:rPr>
                <w:rFonts w:ascii="Arial" w:hAnsi="Arial"/>
                <w:b w:val="0"/>
                <w:sz w:val="13"/>
              </w:rPr>
              <w:t>Requires outward landscape data.</w:t>
            </w:r>
          </w:p>
        </w:tc>
      </w:tr>
      <w:tr>
        <w:tc>
          <w:tcPr>
            <w:tcW w:type="dxa" w:w="1656"/>
            <w:vAlign w:val="top"/>
          </w:tcPr>
          <w:p>
            <w:pPr>
              <w:spacing w:after="0" w:line="240" w:lineRule="auto"/>
            </w:pPr>
            <w:r/>
            <w:r>
              <w:rPr>
                <w:rFonts w:ascii="Arial" w:hAnsi="Arial"/>
                <w:b w:val="0"/>
                <w:sz w:val="13"/>
              </w:rPr>
              <w:t>Fauna and hunting</w:t>
            </w:r>
          </w:p>
        </w:tc>
        <w:tc>
          <w:tcPr>
            <w:tcW w:type="dxa" w:w="3384"/>
            <w:vAlign w:val="top"/>
          </w:tcPr>
          <w:p>
            <w:pPr>
              <w:spacing w:after="0" w:line="240" w:lineRule="auto"/>
            </w:pPr>
            <w:r/>
            <w:r>
              <w:rPr>
                <w:rFonts w:ascii="Arial" w:hAnsi="Arial"/>
                <w:b w:val="0"/>
                <w:sz w:val="13"/>
              </w:rPr>
              <w:t>Gazelle, aurochs, wild ass, boar, wild sheep/mouflon, fox; aurochs hunting lesion. [3], [4], [7], [8]</w:t>
            </w:r>
          </w:p>
        </w:tc>
        <w:tc>
          <w:tcPr>
            <w:tcW w:type="dxa" w:w="2880"/>
            <w:vAlign w:val="top"/>
          </w:tcPr>
          <w:p>
            <w:pPr>
              <w:spacing w:after="0" w:line="240" w:lineRule="auto"/>
            </w:pPr>
            <w:r/>
            <w:r>
              <w:rPr>
                <w:rFonts w:ascii="Arial" w:hAnsi="Arial"/>
                <w:b w:val="0"/>
                <w:sz w:val="13"/>
              </w:rPr>
              <w:t>Hunt and feast competence; dangerous body handling.</w:t>
            </w:r>
          </w:p>
        </w:tc>
        <w:tc>
          <w:tcPr>
            <w:tcW w:type="dxa" w:w="2232"/>
            <w:vAlign w:val="top"/>
          </w:tcPr>
          <w:p>
            <w:pPr>
              <w:spacing w:after="0" w:line="240" w:lineRule="auto"/>
            </w:pPr>
            <w:r/>
            <w:r>
              <w:rPr>
                <w:rFonts w:ascii="Arial" w:hAnsi="Arial"/>
                <w:b w:val="0"/>
                <w:sz w:val="13"/>
              </w:rPr>
              <w:t>Hunt evidence, not raid evidence.</w:t>
            </w:r>
          </w:p>
        </w:tc>
      </w:tr>
      <w:tr>
        <w:tc>
          <w:tcPr>
            <w:tcW w:type="dxa" w:w="1656"/>
            <w:vAlign w:val="top"/>
          </w:tcPr>
          <w:p>
            <w:pPr>
              <w:spacing w:after="0" w:line="240" w:lineRule="auto"/>
            </w:pPr>
            <w:r/>
            <w:r>
              <w:rPr>
                <w:rFonts w:ascii="Arial" w:hAnsi="Arial"/>
                <w:b w:val="0"/>
                <w:sz w:val="13"/>
              </w:rPr>
              <w:t>Human remains</w:t>
            </w:r>
          </w:p>
        </w:tc>
        <w:tc>
          <w:tcPr>
            <w:tcW w:type="dxa" w:w="3384"/>
            <w:vAlign w:val="top"/>
          </w:tcPr>
          <w:p>
            <w:pPr>
              <w:spacing w:after="0" w:line="240" w:lineRule="auto"/>
            </w:pPr>
            <w:r/>
            <w:r>
              <w:rPr>
                <w:rFonts w:ascii="Arial" w:hAnsi="Arial"/>
                <w:b w:val="0"/>
                <w:sz w:val="13"/>
              </w:rPr>
              <w:t>Modified skull fragments and scattered human bone in fill contexts. [5], [6]</w:t>
            </w:r>
          </w:p>
        </w:tc>
        <w:tc>
          <w:tcPr>
            <w:tcW w:type="dxa" w:w="2880"/>
            <w:vAlign w:val="top"/>
          </w:tcPr>
          <w:p>
            <w:pPr>
              <w:spacing w:after="0" w:line="240" w:lineRule="auto"/>
            </w:pPr>
            <w:r/>
            <w:r>
              <w:rPr>
                <w:rFonts w:ascii="Arial" w:hAnsi="Arial"/>
                <w:b w:val="0"/>
                <w:sz w:val="13"/>
              </w:rPr>
              <w:t>Death practice, memory, trace loss, mortuary ambiguity.</w:t>
            </w:r>
          </w:p>
        </w:tc>
        <w:tc>
          <w:tcPr>
            <w:tcW w:type="dxa" w:w="2232"/>
            <w:vAlign w:val="top"/>
          </w:tcPr>
          <w:p>
            <w:pPr>
              <w:spacing w:after="0" w:line="240" w:lineRule="auto"/>
            </w:pPr>
            <w:r/>
            <w:r>
              <w:rPr>
                <w:rFonts w:ascii="Arial" w:hAnsi="Arial"/>
                <w:b w:val="0"/>
                <w:sz w:val="13"/>
              </w:rPr>
              <w:t>Does not prove raid, siege, or conspecific consumption.</w:t>
            </w:r>
          </w:p>
        </w:tc>
      </w:tr>
      <w:tr>
        <w:tc>
          <w:tcPr>
            <w:tcW w:type="dxa" w:w="1656"/>
            <w:vAlign w:val="top"/>
          </w:tcPr>
          <w:p>
            <w:pPr>
              <w:spacing w:after="0" w:line="240" w:lineRule="auto"/>
            </w:pPr>
            <w:r/>
            <w:r>
              <w:rPr>
                <w:rFonts w:ascii="Arial" w:hAnsi="Arial"/>
                <w:b w:val="0"/>
                <w:sz w:val="13"/>
              </w:rPr>
              <w:t>Symbolic warning</w:t>
            </w:r>
          </w:p>
        </w:tc>
        <w:tc>
          <w:tcPr>
            <w:tcW w:type="dxa" w:w="3384"/>
            <w:vAlign w:val="top"/>
          </w:tcPr>
          <w:p>
            <w:pPr>
              <w:spacing w:after="0" w:line="240" w:lineRule="auto"/>
            </w:pPr>
            <w:r/>
            <w:r>
              <w:rPr>
                <w:rFonts w:ascii="Arial" w:hAnsi="Arial"/>
                <w:b w:val="0"/>
                <w:sz w:val="13"/>
              </w:rPr>
              <w:t>T-pillars, anthropomorphic features, animal imagery, and regional T-shaped pillar distribution. [11], [12]</w:t>
            </w:r>
          </w:p>
        </w:tc>
        <w:tc>
          <w:tcPr>
            <w:tcW w:type="dxa" w:w="2880"/>
            <w:vAlign w:val="top"/>
          </w:tcPr>
          <w:p>
            <w:pPr>
              <w:spacing w:after="0" w:line="240" w:lineRule="auto"/>
            </w:pPr>
            <w:r/>
            <w:r>
              <w:rPr>
                <w:rFonts w:ascii="Arial" w:hAnsi="Arial"/>
                <w:b w:val="0"/>
                <w:sz w:val="13"/>
              </w:rPr>
              <w:t>Durable social persons, memory, coalition reach, and possible proto-legal warning.</w:t>
            </w:r>
          </w:p>
        </w:tc>
        <w:tc>
          <w:tcPr>
            <w:tcW w:type="dxa" w:w="2232"/>
            <w:vAlign w:val="top"/>
          </w:tcPr>
          <w:p>
            <w:pPr>
              <w:spacing w:after="0" w:line="240" w:lineRule="auto"/>
            </w:pPr>
            <w:r/>
            <w:r>
              <w:rPr>
                <w:rFonts w:ascii="Arial" w:hAnsi="Arial"/>
                <w:b w:val="0"/>
                <w:sz w:val="13"/>
              </w:rPr>
              <w:t>Does not prove formal law or fixed enforcement.</w:t>
            </w:r>
          </w:p>
        </w:tc>
      </w:tr>
      <w:tr>
        <w:tc>
          <w:tcPr>
            <w:tcW w:type="dxa" w:w="1656"/>
            <w:vAlign w:val="top"/>
          </w:tcPr>
          <w:p>
            <w:pPr>
              <w:spacing w:after="0" w:line="240" w:lineRule="auto"/>
            </w:pPr>
            <w:r/>
            <w:r>
              <w:rPr>
                <w:rFonts w:ascii="Arial" w:hAnsi="Arial"/>
                <w:b w:val="0"/>
                <w:sz w:val="13"/>
              </w:rPr>
              <w:t>Conflict background</w:t>
            </w:r>
          </w:p>
        </w:tc>
        <w:tc>
          <w:tcPr>
            <w:tcW w:type="dxa" w:w="3384"/>
            <w:vAlign w:val="top"/>
          </w:tcPr>
          <w:p>
            <w:pPr>
              <w:spacing w:after="0" w:line="240" w:lineRule="auto"/>
            </w:pPr>
            <w:r/>
            <w:r>
              <w:rPr>
                <w:rFonts w:ascii="Arial" w:hAnsi="Arial"/>
                <w:b w:val="0"/>
                <w:sz w:val="13"/>
              </w:rPr>
              <w:t>Kortik Tepe discussion notes interpersonal violence and conflict mitigation, with limited intergroup proxies. [9]</w:t>
            </w:r>
          </w:p>
        </w:tc>
        <w:tc>
          <w:tcPr>
            <w:tcW w:type="dxa" w:w="2880"/>
            <w:vAlign w:val="top"/>
          </w:tcPr>
          <w:p>
            <w:pPr>
              <w:spacing w:after="0" w:line="240" w:lineRule="auto"/>
            </w:pPr>
            <w:r/>
            <w:r>
              <w:rPr>
                <w:rFonts w:ascii="Arial" w:hAnsi="Arial"/>
                <w:b w:val="0"/>
                <w:sz w:val="13"/>
              </w:rPr>
              <w:t>Regional social heat and need for mitigation.</w:t>
            </w:r>
          </w:p>
        </w:tc>
        <w:tc>
          <w:tcPr>
            <w:tcW w:type="dxa" w:w="2232"/>
            <w:vAlign w:val="top"/>
          </w:tcPr>
          <w:p>
            <w:pPr>
              <w:spacing w:after="0" w:line="240" w:lineRule="auto"/>
            </w:pPr>
            <w:r/>
            <w:r>
              <w:rPr>
                <w:rFonts w:ascii="Arial" w:hAnsi="Arial"/>
                <w:b w:val="0"/>
                <w:sz w:val="13"/>
              </w:rPr>
              <w:t>Indirect comparison only.</w:t>
            </w:r>
          </w:p>
        </w:tc>
      </w:tr>
      <w:tr>
        <w:tc>
          <w:tcPr>
            <w:tcW w:type="dxa" w:w="1656"/>
            <w:vAlign w:val="top"/>
          </w:tcPr>
          <w:p>
            <w:pPr>
              <w:spacing w:after="0" w:line="240" w:lineRule="auto"/>
            </w:pPr>
            <w:r/>
            <w:r>
              <w:rPr>
                <w:rFonts w:ascii="Arial" w:hAnsi="Arial"/>
                <w:b w:val="0"/>
                <w:sz w:val="13"/>
              </w:rPr>
              <w:t>Stratigraphy and fill</w:t>
            </w:r>
          </w:p>
        </w:tc>
        <w:tc>
          <w:tcPr>
            <w:tcW w:type="dxa" w:w="3384"/>
            <w:vAlign w:val="top"/>
          </w:tcPr>
          <w:p>
            <w:pPr>
              <w:spacing w:after="0" w:line="240" w:lineRule="auto"/>
            </w:pPr>
            <w:r/>
            <w:r>
              <w:rPr>
                <w:rFonts w:ascii="Arial" w:hAnsi="Arial"/>
                <w:b w:val="0"/>
                <w:sz w:val="13"/>
              </w:rPr>
              <w:t>Built-on-rock work stresses complex mound formation, slope processes, repairs, and revision of older fill assumptions. [10]</w:t>
            </w:r>
          </w:p>
        </w:tc>
        <w:tc>
          <w:tcPr>
            <w:tcW w:type="dxa" w:w="2880"/>
            <w:vAlign w:val="top"/>
          </w:tcPr>
          <w:p>
            <w:pPr>
              <w:spacing w:after="0" w:line="240" w:lineRule="auto"/>
            </w:pPr>
            <w:r/>
            <w:r>
              <w:rPr>
                <w:rFonts w:ascii="Arial" w:hAnsi="Arial"/>
                <w:b w:val="0"/>
                <w:sz w:val="13"/>
              </w:rPr>
              <w:t>Need for sequence, route, and repair testing.</w:t>
            </w:r>
          </w:p>
        </w:tc>
        <w:tc>
          <w:tcPr>
            <w:tcW w:type="dxa" w:w="2232"/>
            <w:vAlign w:val="top"/>
          </w:tcPr>
          <w:p>
            <w:pPr>
              <w:spacing w:after="0" w:line="240" w:lineRule="auto"/>
            </w:pPr>
            <w:r/>
            <w:r>
              <w:rPr>
                <w:rFonts w:ascii="Arial" w:hAnsi="Arial"/>
                <w:b w:val="0"/>
                <w:sz w:val="13"/>
              </w:rPr>
              <w:t>Moved material can mimic tactical traces.</w:t>
            </w:r>
          </w:p>
        </w:tc>
      </w:tr>
    </w:tbl>
    <w:p>
      <w:pPr>
        <w:spacing w:after="0"/>
      </w:pPr>
    </w:p>
    <w:p>
      <w:pPr>
        <w:pStyle w:val="Heading1"/>
        <w:spacing w:before="160" w:after="80"/>
      </w:pPr>
      <w:r>
        <w:t>12. Projectiles: incoming, salvaged, and low-rank</w:t>
      </w:r>
    </w:p>
    <w:p>
      <w:pPr>
        <w:spacing w:after="80" w:line="252" w:lineRule="auto"/>
      </w:pPr>
      <w: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pPr>
        <w:spacing w:after="80" w:line="252" w:lineRule="auto"/>
      </w:pPr>
      <w: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spacing w:before="160" w:after="80"/>
      </w:pPr>
      <w:r>
        <w:t>13. Bone, scavengers, and competitor displacement</w:t>
      </w:r>
    </w:p>
    <w:p>
      <w:pPr>
        <w:spacing w:after="80" w:line="252" w:lineRule="auto"/>
      </w:pPr>
      <w:r>
        <w:t>Bone is not proposed as primary raider bait. It is part of the resident group delayed-value ecology: marrow, mineral, tool stock, animal feed, ritual matter, trace-loss pathway, and food-scent source. Bone fragments and food waste can attract suids, canids, vultures, and other scavengers into known observation zones. This helps explain why traces may move, vanish, or acquire gnaw marks.</w:t>
      </w:r>
    </w:p>
    <w:p>
      <w:pPr>
        <w:spacing w:after="80" w:line="252" w:lineRule="auto"/>
      </w:pPr>
      <w:r>
        <w:t>Large carnivores such as bears should be treated differently. A wounded bear is not dependable meat unless it dies nearby. The value of shooting or displacing such an animal may be competitor reduction around nuts, honey, carrion, stores, or processing zones. This remains an opportunistic scarcity-ecology note, not a main explanation for the site.</w:t>
      </w:r>
    </w:p>
    <w:p>
      <w:pPr>
        <w:pStyle w:val="Heading1"/>
        <w:spacing w:before="160" w:after="80"/>
      </w:pPr>
      <w:r>
        <w:t>14. Regional network and T-pillar echo</w:t>
      </w:r>
    </w:p>
    <w:p>
      <w:pPr>
        <w:spacing w:after="80" w:line="252" w:lineRule="auto"/>
      </w:pPr>
      <w:r>
        <w:t>Gobekli Tepe should not be treated as an isolated target. Regional T-pillar sites and related symbolic forms suggest a broader landscape of shared monument language, visitors, allies, and emulation. A raider-mode group approaching one node may be approaching a network of kin, guests, exchange partners, and ritual obligations rather than a lone pantry.</w:t>
      </w:r>
    </w:p>
    <w:p>
      <w:pPr>
        <w:spacing w:after="80" w:line="252" w:lineRule="auto"/>
      </w:pPr>
      <w:r>
        <w:t>Other T-pillar sites need not share the original GT problem or layout. Once the monument language exists, related sites can adopt it as prestige echo, coalition signalling, regional identity claim, or participation marker. The first prototype may have needed stronger mechanical and strategic advantage. Later versions may carry more of the legend and less of the original operating problem. They can say, in stone, that their people also belong to the world of organised negotiable value.</w:t>
      </w:r>
    </w:p>
    <w:p>
      <w:pPr>
        <w:pStyle w:val="Heading1"/>
        <w:spacing w:before="160" w:after="80"/>
      </w:pPr>
      <w:r>
        <w:t>15. Speculative mechanisms, kept short</w:t>
      </w:r>
    </w:p>
    <w:p>
      <w:pPr>
        <w:spacing w:after="80" w:line="252" w:lineRule="auto"/>
      </w:pPr>
      <w:r>
        <w:t>Delay-and-drop remains the strongest tactical affordance: a visible or scent-linked threshold delays the front of a small raiding group, psychological friction produces a pause, and defenders use height or side positions to break momentum. This is a proposed use of architecture, not a proven event.</w:t>
      </w:r>
    </w:p>
    <w:p>
      <w:pPr>
        <w:spacing w:after="80" w:line="252" w:lineRule="auto"/>
      </w:pPr>
      <w:r>
        <w:t>Roof or upper-surface failure is weaker and should stay in an appendix or low-rank note unless timber, route, collapse, and repair evidence support it. Mortuary crisis roles and rare emergency conspecific consumption are also edge cases. Modified skull fragments are best treated first as death practice and body handling; scarcity readings remain theoretical limit-cases, not ordinary practice.</w:t>
      </w:r>
    </w:p>
    <w:p>
      <w:pPr>
        <w:pStyle w:val="Heading1"/>
        <w:spacing w:before="160" w:after="80"/>
      </w:pPr>
      <w:r>
        <w:t>16. What would strengthen or weaken the model</w:t>
      </w:r>
    </w:p>
    <w:tbl>
      <w:tblPr>
        <w:tblStyle w:val="TableGrid"/>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5227"/>
        <w:gridCol w:w="5227"/>
      </w:tblGrid>
      <w:tr>
        <w:tc>
          <w:tcPr>
            <w:tcW w:type="dxa" w:w="4968"/>
            <w:vAlign w:val="top"/>
            <w:shd w:fill="D9EAF7"/>
          </w:tcPr>
          <w:p>
            <w:pPr>
              <w:spacing w:after="0" w:line="240" w:lineRule="auto"/>
            </w:pPr>
            <w:r/>
            <w:r>
              <w:rPr>
                <w:rFonts w:ascii="Arial" w:hAnsi="Arial"/>
                <w:b/>
                <w:sz w:val="14"/>
              </w:rPr>
              <w:t>Would strengthen</w:t>
            </w:r>
          </w:p>
        </w:tc>
        <w:tc>
          <w:tcPr>
            <w:tcW w:type="dxa" w:w="4968"/>
            <w:vAlign w:val="top"/>
            <w:shd w:fill="D9EAF7"/>
          </w:tcPr>
          <w:p>
            <w:pPr>
              <w:spacing w:after="0" w:line="240" w:lineRule="auto"/>
            </w:pPr>
            <w:r/>
            <w:r>
              <w:rPr>
                <w:rFonts w:ascii="Arial" w:hAnsi="Arial"/>
                <w:b/>
                <w:sz w:val="14"/>
              </w:rPr>
              <w:t>Would weaken</w:t>
            </w:r>
          </w:p>
        </w:tc>
      </w:tr>
      <w:tr>
        <w:tc>
          <w:tcPr>
            <w:tcW w:type="dxa" w:w="4968"/>
            <w:vAlign w:val="top"/>
          </w:tcPr>
          <w:p>
            <w:pPr>
              <w:spacing w:after="0" w:line="240" w:lineRule="auto"/>
            </w:pPr>
            <w:r/>
            <w:r>
              <w:rPr>
                <w:rFonts w:ascii="Arial" w:hAnsi="Arial"/>
                <w:b w:val="0"/>
                <w:sz w:val="14"/>
              </w:rPr>
              <w:t>Approach-route overlay shows delay, observation, bunching, or reroute potential.</w:t>
            </w:r>
          </w:p>
        </w:tc>
        <w:tc>
          <w:tcPr>
            <w:tcW w:type="dxa" w:w="4968"/>
            <w:vAlign w:val="top"/>
          </w:tcPr>
          <w:p>
            <w:pPr>
              <w:spacing w:after="0" w:line="240" w:lineRule="auto"/>
            </w:pPr>
            <w:r/>
            <w:r>
              <w:rPr>
                <w:rFonts w:ascii="Arial" w:hAnsi="Arial"/>
                <w:b w:val="0"/>
                <w:sz w:val="14"/>
              </w:rPr>
              <w:t>Plan overlay shows no meaningful route delay, observation, bunching, or reroute potential.</w:t>
            </w:r>
          </w:p>
        </w:tc>
      </w:tr>
      <w:tr>
        <w:tc>
          <w:tcPr>
            <w:tcW w:type="dxa" w:w="4968"/>
            <w:vAlign w:val="top"/>
          </w:tcPr>
          <w:p>
            <w:pPr>
              <w:spacing w:after="0" w:line="240" w:lineRule="auto"/>
            </w:pPr>
            <w:r/>
            <w:r>
              <w:rPr>
                <w:rFonts w:ascii="Arial" w:hAnsi="Arial"/>
                <w:b w:val="0"/>
                <w:sz w:val="14"/>
              </w:rPr>
              <w:t>Protected processing areas align with safe routes, watch points, social gathering, or contribution pathways.</w:t>
            </w:r>
          </w:p>
        </w:tc>
        <w:tc>
          <w:tcPr>
            <w:tcW w:type="dxa" w:w="4968"/>
            <w:vAlign w:val="top"/>
          </w:tcPr>
          <w:p>
            <w:pPr>
              <w:spacing w:after="0" w:line="240" w:lineRule="auto"/>
            </w:pPr>
            <w:r/>
            <w:r>
              <w:rPr>
                <w:rFonts w:ascii="Arial" w:hAnsi="Arial"/>
                <w:b w:val="0"/>
                <w:sz w:val="14"/>
              </w:rPr>
              <w:t>Grinding distribution fits ordinary scatter without processing-node patterning.</w:t>
            </w:r>
          </w:p>
        </w:tc>
      </w:tr>
      <w:tr>
        <w:tc>
          <w:tcPr>
            <w:tcW w:type="dxa" w:w="4968"/>
            <w:vAlign w:val="top"/>
          </w:tcPr>
          <w:p>
            <w:pPr>
              <w:spacing w:after="0" w:line="240" w:lineRule="auto"/>
            </w:pPr>
            <w:r/>
            <w:r>
              <w:rPr>
                <w:rFonts w:ascii="Arial" w:hAnsi="Arial"/>
                <w:b w:val="0"/>
                <w:sz w:val="14"/>
              </w:rPr>
              <w:t>Surrounding minor processing or storage sites show threat, abandonment, repair, cache damage, or movement toward protected processing.</w:t>
            </w:r>
          </w:p>
        </w:tc>
        <w:tc>
          <w:tcPr>
            <w:tcW w:type="dxa" w:w="4968"/>
            <w:vAlign w:val="top"/>
          </w:tcPr>
          <w:p>
            <w:pPr>
              <w:spacing w:after="0" w:line="240" w:lineRule="auto"/>
            </w:pPr>
            <w:r/>
            <w:r>
              <w:rPr>
                <w:rFonts w:ascii="Arial" w:hAnsi="Arial"/>
                <w:b w:val="0"/>
                <w:sz w:val="14"/>
              </w:rPr>
              <w:t>Feeder landscape shows no sign of vulnerable processing, storage stress, or movement toward protected nodes.</w:t>
            </w:r>
          </w:p>
        </w:tc>
      </w:tr>
      <w:tr>
        <w:tc>
          <w:tcPr>
            <w:tcW w:type="dxa" w:w="4968"/>
            <w:vAlign w:val="top"/>
          </w:tcPr>
          <w:p>
            <w:pPr>
              <w:spacing w:after="0" w:line="240" w:lineRule="auto"/>
            </w:pPr>
            <w:r/>
            <w:r>
              <w:rPr>
                <w:rFonts w:ascii="Arial" w:hAnsi="Arial"/>
                <w:b w:val="0"/>
                <w:sz w:val="14"/>
              </w:rPr>
              <w:t>Worker-risk signatures appear: moved grinding kit, avoided exposed work spots, paired work, watched paths, route stress, or signs of coercive encounters near food work.</w:t>
            </w:r>
          </w:p>
        </w:tc>
        <w:tc>
          <w:tcPr>
            <w:tcW w:type="dxa" w:w="4968"/>
            <w:vAlign w:val="top"/>
          </w:tcPr>
          <w:p>
            <w:pPr>
              <w:spacing w:after="0" w:line="240" w:lineRule="auto"/>
            </w:pPr>
            <w:r/>
            <w:r>
              <w:rPr>
                <w:rFonts w:ascii="Arial" w:hAnsi="Arial"/>
                <w:b w:val="0"/>
                <w:sz w:val="14"/>
              </w:rPr>
              <w:t>No evidence appears for exposed worker vulnerability or movement away from isolated processing.</w:t>
            </w:r>
          </w:p>
        </w:tc>
      </w:tr>
      <w:tr>
        <w:tc>
          <w:tcPr>
            <w:tcW w:type="dxa" w:w="4968"/>
            <w:vAlign w:val="top"/>
          </w:tcPr>
          <w:p>
            <w:pPr>
              <w:spacing w:after="0" w:line="240" w:lineRule="auto"/>
            </w:pPr>
            <w:r/>
            <w:r>
              <w:rPr>
                <w:rFonts w:ascii="Arial" w:hAnsi="Arial"/>
                <w:b w:val="0"/>
                <w:sz w:val="14"/>
              </w:rPr>
              <w:t>Threshold symbolism, stone-person focus, and regional echo align with protected food-work routes or gathering obligations.</w:t>
            </w:r>
          </w:p>
        </w:tc>
        <w:tc>
          <w:tcPr>
            <w:tcW w:type="dxa" w:w="4968"/>
            <w:vAlign w:val="top"/>
          </w:tcPr>
          <w:p>
            <w:pPr>
              <w:spacing w:after="0" w:line="240" w:lineRule="auto"/>
            </w:pPr>
            <w:r/>
            <w:r>
              <w:rPr>
                <w:rFonts w:ascii="Arial" w:hAnsi="Arial"/>
                <w:b w:val="0"/>
                <w:sz w:val="14"/>
              </w:rPr>
              <w:t>Symbolic patterning remains unrelated to access, processing, route control, or gathering recurrence.</w:t>
            </w:r>
          </w:p>
        </w:tc>
      </w:tr>
      <w:tr>
        <w:tc>
          <w:tcPr>
            <w:tcW w:type="dxa" w:w="4968"/>
            <w:vAlign w:val="top"/>
          </w:tcPr>
          <w:p>
            <w:pPr>
              <w:spacing w:after="0" w:line="240" w:lineRule="auto"/>
            </w:pPr>
            <w:r/>
            <w:r>
              <w:rPr>
                <w:rFonts w:ascii="Arial" w:hAnsi="Arial"/>
                <w:b w:val="0"/>
                <w:sz w:val="14"/>
              </w:rPr>
              <w:t>Impact-diagnostic lithic or stone traces align with threshold routes and repair.</w:t>
            </w:r>
          </w:p>
        </w:tc>
        <w:tc>
          <w:tcPr>
            <w:tcW w:type="dxa" w:w="4968"/>
            <w:vAlign w:val="top"/>
          </w:tcPr>
          <w:p>
            <w:pPr>
              <w:spacing w:after="0" w:line="240" w:lineRule="auto"/>
            </w:pPr>
            <w:r/>
            <w:r>
              <w:rPr>
                <w:rFonts w:ascii="Arial" w:hAnsi="Arial"/>
                <w:b w:val="0"/>
                <w:sz w:val="14"/>
              </w:rPr>
              <w:t>Micro-traces dissolve into ordinary knapping, grinding, trampling, or fill processes.</w:t>
            </w:r>
          </w:p>
        </w:tc>
      </w:tr>
      <w:tr>
        <w:tc>
          <w:tcPr>
            <w:tcW w:type="dxa" w:w="4968"/>
            <w:vAlign w:val="top"/>
          </w:tcPr>
          <w:p>
            <w:pPr>
              <w:spacing w:after="0" w:line="240" w:lineRule="auto"/>
            </w:pPr>
            <w:r/>
            <w:r>
              <w:rPr>
                <w:rFonts w:ascii="Arial" w:hAnsi="Arial"/>
                <w:b w:val="0"/>
                <w:sz w:val="14"/>
              </w:rPr>
              <w:t>Timber, screen, roof, platform, or access evidence changes route and sightline readings.</w:t>
            </w:r>
          </w:p>
        </w:tc>
        <w:tc>
          <w:tcPr>
            <w:tcW w:type="dxa" w:w="4968"/>
            <w:vAlign w:val="top"/>
          </w:tcPr>
          <w:p>
            <w:pPr>
              <w:spacing w:after="0" w:line="240" w:lineRule="auto"/>
            </w:pPr>
            <w:r/>
            <w:r>
              <w:rPr>
                <w:rFonts w:ascii="Arial" w:hAnsi="Arial"/>
                <w:b w:val="0"/>
                <w:sz w:val="14"/>
              </w:rPr>
              <w:t>No timber, screen, platform, or access evidence appears after detailed study.</w:t>
            </w:r>
          </w:p>
        </w:tc>
      </w:tr>
      <w:tr>
        <w:tc>
          <w:tcPr>
            <w:tcW w:type="dxa" w:w="4968"/>
            <w:vAlign w:val="top"/>
          </w:tcPr>
          <w:p>
            <w:pPr>
              <w:spacing w:after="0" w:line="240" w:lineRule="auto"/>
            </w:pPr>
            <w:r/>
            <w:r>
              <w:rPr>
                <w:rFonts w:ascii="Arial" w:hAnsi="Arial"/>
                <w:b w:val="0"/>
                <w:sz w:val="14"/>
              </w:rPr>
              <w:t>Human remains show patterned skull handling, teeth, cut marks, animal damage, or context-specific redeposition.</w:t>
            </w:r>
          </w:p>
        </w:tc>
        <w:tc>
          <w:tcPr>
            <w:tcW w:type="dxa" w:w="4968"/>
            <w:vAlign w:val="top"/>
          </w:tcPr>
          <w:p>
            <w:pPr>
              <w:spacing w:after="0" w:line="240" w:lineRule="auto"/>
            </w:pPr>
            <w:r/>
            <w:r>
              <w:rPr>
                <w:rFonts w:ascii="Arial" w:hAnsi="Arial"/>
                <w:b w:val="0"/>
                <w:sz w:val="14"/>
              </w:rPr>
              <w:t>Human remains are fully explained by unrelated disturbance or later movement.</w:t>
            </w:r>
          </w:p>
        </w:tc>
      </w:tr>
      <w:tr>
        <w:tc>
          <w:tcPr>
            <w:tcW w:type="dxa" w:w="4968"/>
            <w:vAlign w:val="top"/>
          </w:tcPr>
          <w:p>
            <w:pPr>
              <w:spacing w:after="0" w:line="240" w:lineRule="auto"/>
            </w:pPr>
            <w:r/>
            <w:r>
              <w:rPr>
                <w:rFonts w:ascii="Arial" w:hAnsi="Arial"/>
                <w:b w:val="0"/>
                <w:sz w:val="14"/>
              </w:rPr>
              <w:t>Visitor and material signatures show wide gathering networks and seasonal influx.</w:t>
            </w:r>
          </w:p>
        </w:tc>
        <w:tc>
          <w:tcPr>
            <w:tcW w:type="dxa" w:w="4968"/>
            <w:vAlign w:val="top"/>
          </w:tcPr>
          <w:p>
            <w:pPr>
              <w:spacing w:after="0" w:line="240" w:lineRule="auto"/>
            </w:pPr>
            <w:r/>
            <w:r>
              <w:rPr>
                <w:rFonts w:ascii="Arial" w:hAnsi="Arial"/>
                <w:b w:val="0"/>
                <w:sz w:val="14"/>
              </w:rPr>
              <w:t>A simpler model explains ritual, food, animal, death, route, and visibility data with fewer assumptions.</w:t>
            </w:r>
          </w:p>
        </w:tc>
      </w:tr>
    </w:tbl>
    <w:p>
      <w:pPr>
        <w:spacing w:after="0"/>
      </w:pPr>
    </w:p>
    <w:p>
      <w:pPr>
        <w:pStyle w:val="Heading1"/>
        <w:spacing w:before="160" w:after="80"/>
      </w:pPr>
      <w:r>
        <w:t>17. Public and academic language note</w:t>
      </w:r>
    </w:p>
    <w:p>
      <w:pPr>
        <w:spacing w:after="80" w:line="252" w:lineRule="auto"/>
      </w:pPr>
      <w:r>
        <w:t>Version 0.94 keeps the main text close to ordinary archaeological language. The full v1.0 pass can complete that translation without changing the paper spine: do not let one known role swallow another, do not turn absence into proof too quickly, and keep speculative mechanisms in rank until data supports them.</w:t>
      </w:r>
    </w:p>
    <w:p>
      <w:pPr>
        <w:spacing w:after="80" w:line="252" w:lineRule="auto"/>
      </w:pPr>
      <w:r>
        <w:t>For v1.0, the methods note can map earlier local vocabulary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pPr>
        <w:spacing w:after="80" w:line="252" w:lineRule="auto"/>
      </w:pPr>
      <w:r>
        <w:t>The internal wall/law shorthand should remain mostly offstage in publication prose. Its archaeological translation is enough: material barriers can make force stationary, while durable social warning can make consequence stationary. The v0.94 phrase for that layer is proto-legal signal or proto-legal memory, not formal law.</w:t>
      </w:r>
    </w:p>
    <w:p>
      <w:pPr>
        <w:pStyle w:val="Heading1"/>
        <w:spacing w:before="160" w:after="80"/>
      </w:pPr>
      <w:r>
        <w:t>Conclusion</w:t>
      </w:r>
    </w:p>
    <w:p>
      <w:pPr>
        <w:spacing w:after="80" w:line="252" w:lineRule="auto"/>
      </w:pPr>
      <w:r>
        <w:t>Version 0.94 adds the worker-risk and proto-legal memory layers to the protected-processing draft. The thesis is no longer a trap claim. It is a warning-architecture claim inside a ritual-social system. The paper also separates agricultural capability from agricultural viability: people may have known how to grow, process, store, fence, and gather food before they knew how to make stationary life safe and reliable.</w:t>
      </w:r>
    </w:p>
    <w:p>
      <w:pPr>
        <w:spacing w:after="80" w:line="252" w:lineRule="auto"/>
      </w:pPr>
      <w:r>
        <w:t>The added layer is first-perceived-wealth raider-risk. The site food events, smoke, grinding, visitors, monumentality, and regional node position could make it visible to hungry outsiders. Its ritual core, stone persons, threshold effects, coalition signal, safe processing role, proto-legal memory, and outer-route affordances could convert many outsiders into guests, witnesses, allies, or warned rivals before violence formed. If violence did form, the model predicts rare attempts, remembered failures, and small traces filtered through later use, scavengers, repair, and fill.</w:t>
      </w:r>
    </w:p>
    <w:p>
      <w:pPr>
        <w:spacing w:after="80" w:line="252" w:lineRule="auto"/>
      </w:pPr>
      <w:r>
        <w:t>The v0.94 hardening is that theft of processed food is too mild as the only threat model. The stronger risk is control of the exposed food worker, followed by food, tool, store, or route capture. A protected processing node says that the worker is not alone. The same stone and ritual system also says that harm done there can travel as group memory.</w:t>
      </w:r>
    </w:p>
    <w:p>
      <w:pPr>
        <w:pStyle w:val="Heading1"/>
        <w:spacing w:before="160" w:after="80"/>
      </w:pPr>
      <w:r>
        <w:t>References and source anchors</w:t>
      </w:r>
    </w:p>
    <w:p>
      <w:pPr>
        <w:spacing w:after="80" w:line="252" w:lineRule="auto"/>
        <w:ind w:left="216" w:hanging="216"/>
      </w:pPr>
      <w:r>
        <w:rPr>
          <w:sz w:val="16"/>
        </w:rPr>
        <w:t>[1] UNESCO World Heritage Centre. Gobekli Tepe: dates, setting, T-pillars, and ritual framing. https://whc.unesco.org/en/list/1572/</w:t>
      </w:r>
    </w:p>
    <w:p>
      <w:pPr>
        <w:spacing w:after="80" w:line="252" w:lineRule="auto"/>
        <w:ind w:left="216" w:hanging="216"/>
      </w:pPr>
      <w:r>
        <w:rPr>
          <w:sz w:val="16"/>
        </w:rPr>
        <w:t>[2] Dietrich et al. 2019. Cereal processing at Early Neolithic Gobekli Tepe, southeastern Turkey. PLOS ONE. https://journals.plos.org/plosone/article?id=10.1371/journal.pone.0215214</w:t>
      </w:r>
    </w:p>
    <w:p>
      <w:pPr>
        <w:spacing w:after="80" w:line="252" w:lineRule="auto"/>
        <w:ind w:left="216" w:hanging="216"/>
      </w:pPr>
      <w:r>
        <w:rPr>
          <w:sz w:val="16"/>
        </w:rPr>
        <w:t>[3] Pollath et al. 2018. Almost a chest hit: an aurochs humerus with hunting lesion from Gobekli Tepe. Quaternary International. https://www.sciencedirect.com/science/article/abs/pii/S104061821731296X</w:t>
      </w:r>
    </w:p>
    <w:p>
      <w:pPr>
        <w:spacing w:after="80" w:line="252" w:lineRule="auto"/>
        <w:ind w:left="216" w:hanging="216"/>
      </w:pPr>
      <w:r>
        <w:rPr>
          <w:sz w:val="16"/>
        </w:rPr>
        <w:t>[4] DAI, The Tepe Telegrams. On the hunt, some 12,000 years ago: an aurochs bone with hunting lesion from Gobekli Tepe. https://www.dainst.blog/the-tepe-telegrams/2018/01/17/on-the-hunt-some-12-000-years-ago-an-aurochs-bone-with-hunting-lesion-from-gobekli-tepe/</w:t>
      </w:r>
    </w:p>
    <w:p>
      <w:pPr>
        <w:spacing w:after="80" w:line="252" w:lineRule="auto"/>
        <w:ind w:left="216" w:hanging="216"/>
      </w:pPr>
      <w:r>
        <w:rPr>
          <w:sz w:val="16"/>
        </w:rPr>
        <w:t>[5] Gresky et al. 2017. Modified human crania from Gobekli Tepe provide evidence for a new form of Neolithic skull practice. Science Advances. https://www.science.org/doi/10.1126/sciadv.1700564</w:t>
      </w:r>
    </w:p>
    <w:p>
      <w:pPr>
        <w:spacing w:after="80" w:line="252" w:lineRule="auto"/>
        <w:ind w:left="216" w:hanging="216"/>
      </w:pPr>
      <w:r>
        <w:rPr>
          <w:sz w:val="16"/>
        </w:rPr>
        <w:t>[6] DAI, The Tepe Telegrams. Evidence for skull practice at Gobekli Tepe. https://www.dainst.blog/the-tepe-telegrams/2017/06/28/new-publication-in-science-advances-evidence-for-skull-cult-at-gobekli-tepe/</w:t>
      </w:r>
    </w:p>
    <w:p>
      <w:pPr>
        <w:spacing w:after="80" w:line="252" w:lineRule="auto"/>
        <w:ind w:left="216" w:hanging="216"/>
      </w:pPr>
      <w:r>
        <w:rPr>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80" w:line="252" w:lineRule="auto"/>
        <w:ind w:left="216" w:hanging="216"/>
      </w:pPr>
      <w:r>
        <w:rPr>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80" w:line="252" w:lineRule="auto"/>
        <w:ind w:left="216" w:hanging="216"/>
      </w:pPr>
      <w:r>
        <w:rPr>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80" w:line="252" w:lineRule="auto"/>
        <w:ind w:left="216" w:hanging="216"/>
      </w:pPr>
      <w:r>
        <w:rPr>
          <w:sz w:val="16"/>
        </w:rPr>
        <w:t>[10] Kinzel and colleagues. Built on Rock: reconstruction of the Neolithic topography of Gobekli Tepe. https://publications.dainst.org/journals/istmitt/article/view/4708/8479</w:t>
      </w:r>
    </w:p>
    <w:p>
      <w:pPr>
        <w:spacing w:after="80" w:line="252" w:lineRule="auto"/>
        <w:ind w:left="216" w:hanging="216"/>
      </w:pPr>
      <w:r>
        <w:rPr>
          <w:sz w:val="16"/>
        </w:rPr>
        <w:t>[11] DAI, The Tepe Telegrams. T-pillars and anthropomorphic features. https://www.dainst.blog/the-tepe-telegrams/tag/t-pillars/</w:t>
      </w:r>
    </w:p>
    <w:p>
      <w:pPr>
        <w:spacing w:after="80" w:line="252" w:lineRule="auto"/>
        <w:ind w:left="216" w:hanging="216"/>
      </w:pPr>
      <w:r>
        <w:rPr>
          <w:sz w:val="16"/>
        </w:rPr>
        <w:t>[12] The Tepe Telegrams. Current distribution of sites with T-shaped pillars. https://tepetelegrams.wordpress.com/2016/05/08/the-current-distribution-of-sites-with-t-shaped-pillars/</w:t>
      </w:r>
    </w:p>
    <w:p>
      <w:pPr>
        <w:spacing w:after="80" w:line="252" w:lineRule="auto"/>
        <w:ind w:left="216" w:hanging="216"/>
      </w:pPr>
      <w:r>
        <w:rPr>
          <w:sz w:val="16"/>
        </w:rPr>
        <w:t>[13] Smith 2001. Low-Level Food Production. Journal of Archaeological Research. https://faculty.washington.edu/stevehar/Smith%202001-%20Low%20Level%20food%20Production.pdf</w:t>
      </w:r>
    </w:p>
    <w:p>
      <w:pPr>
        <w:spacing w:after="80" w:line="252" w:lineRule="auto"/>
        <w:ind w:left="216" w:hanging="216"/>
      </w:pPr>
      <w:r>
        <w:rPr>
          <w:sz w:val="16"/>
        </w:rPr>
        <w:t>[14] Zeder 2011. The Origins of Agriculture in the Near East. Current Anthropology. https://www.journals.uchicago.edu/doi/10.1086/659307</w:t>
      </w:r>
    </w:p>
    <w:p>
      <w:pPr>
        <w:spacing w:after="80" w:line="252" w:lineRule="auto"/>
        <w:ind w:left="216" w:hanging="216"/>
      </w:pPr>
      <w:r>
        <w:rPr>
          <w:sz w:val="16"/>
        </w:rPr>
        <w:t>[15] NIH Office of Dietary Supplements. Calcium fact sheet for health professionals. https://ods.od.nih.gov/factsheets/Calcium-HealthProfessional/</w:t>
      </w:r>
    </w:p>
    <w:p>
      <w:pPr>
        <w:spacing w:after="80" w:line="252" w:lineRule="auto"/>
        <w:ind w:left="216" w:hanging="216"/>
      </w:pPr>
      <w:r>
        <w:rPr>
          <w:sz w:val="16"/>
        </w:rPr>
        <w:t>[16] Boskey and Coleman 2010. Bone composition and fragility. https://pmc.ncbi.nlm.nih.gov/articles/PMC3909232/</w:t>
      </w:r>
    </w:p>
    <w:p>
      <w:pPr>
        <w:spacing w:after="80" w:line="252" w:lineRule="auto"/>
        <w:ind w:left="216" w:hanging="216"/>
      </w:pPr>
      <w:r>
        <w:rPr>
          <w:sz w:val="16"/>
        </w:rPr>
        <w:t>[17] Feedipedia. Bone meal datasheet. https://www.feedipedia.org/node/219</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Gobekli Tepe and the First-Perceived-Wealth Problem | v0.94 human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