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Good Bad Reader</w:t>
      </w:r>
    </w:p>
    <w:p>
      <w:pPr>
        <w:pStyle w:val="Heading1"/>
      </w:pPr>
      <w:r>
        <w:t>Adversarial Reading as Object Care</w:t>
      </w:r>
    </w:p>
    <w:p>
      <w:pPr/>
      <w:r>
        <w:rPr>
          <w:b/>
        </w:rPr>
        <w:t>Version:</w:t>
      </w:r>
      <w:r>
        <w:t xml:space="preserve"> v0.001  </w:t>
      </w:r>
    </w:p>
    <w:p>
      <w:pPr/>
      <w:r>
        <w:rPr>
          <w:b/>
        </w:rPr>
        <w:t>Date:</w:t>
      </w:r>
      <w:r>
        <w:t xml:space="preserve"> 1 July 2026  </w:t>
      </w:r>
    </w:p>
    <w:p>
      <w:pPr/>
      <w:r>
        <w:rPr>
          <w:b/>
        </w:rPr>
        <w:t>Status:</w:t>
      </w:r>
      <w:r>
        <w:t xml:space="preserve"> working paper  </w:t>
      </w:r>
    </w:p>
    <w:p>
      <w:pPr/>
      <w:r>
        <w:rPr>
          <w:b/>
        </w:rPr>
        <w:t>Author line:</w:t>
      </w:r>
      <w:r>
        <w:t xml:space="preserve"> lumixdeee with an internal workflow assistant  </w:t>
      </w:r>
    </w:p>
    <w:p>
      <w:pPr>
        <w:pStyle w:val="Heading1"/>
      </w:pPr>
      <w:r>
        <w:t>Abstract</w:t>
      </w:r>
    </w:p>
    <w:p>
      <w:pPr/>
      <w:r>
        <w:t>Some readers are wrong in useful ways. They are not merely hostile, careless, or stupid. They may be careful, trained, protective, legally cautious, safety-minded, fashionable, or institutionally fluent, yet still likely to replace the live object of a paper with a familiar wrong object. A paper about valued psychosis may be read as pro-collapse. A paper about relative drug risk may be read as personal dosing advice. A paper about object-custody audits may be read as ordinary AI evaluation. A civic affordance proposal may be read as a suspicious person seeking access, rather than an attempt to receive a bounded local resource. The Good Bad Reader names this role: the reader whose predictable wrong reading is strong enough that it should be designed for before release.</w:t>
      </w:r>
    </w:p>
    <w:p>
      <w:pPr/>
      <w:r>
        <w:t>This paper argues that Good Bad Reader design is not politeness, self-censorship, or defensive blandness. It is adversarial reading as object care. A good bad reader does not flatter the artifact. They find where the artifact leaks object. The method borrows from software testing, red teaming, peer criticism, adversarial collaboration, and object custody, but gives them a language-first target: detect the place where a text can be converted into a nearby but wrong claim. The paper distinguishes hostile reading, careless reading, ordinary disagreement, and good bad reading. It proposes a practical protocol: name the live object, predict the likely substitute, build a fence that blocks object theft, check that the fence has not become a cage, then mark source strength and unknowns.</w:t>
      </w:r>
    </w:p>
    <w:p>
      <w:pPr/>
      <w:r>
        <w:t>The contribution is a publication and review method for high-risk semantic work. The Good Bad Reader helps writers preserve force without letting predictable misreadings seize the object. It is not a demand to make work harmless. It is a way to keep sharp work from being eaten by the first available parser.</w:t>
      </w:r>
    </w:p>
    <w:p>
      <w:pPr>
        <w:pStyle w:val="Heading1"/>
      </w:pPr>
      <w:r>
        <w:t>1. Introduction</w:t>
      </w:r>
    </w:p>
    <w:p>
      <w:pPr/>
      <w:r>
        <w:t>A text can fail even when its sentences are true. It can fail because a predictable reader will move the object into another category before the paper begins its real work.</w:t>
      </w:r>
    </w:p>
    <w:p>
      <w:pPr/>
      <w:r>
        <w:t>This is not only a writing problem. It is a custody problem.</w:t>
      </w:r>
    </w:p>
    <w:p>
      <w:pPr/>
      <w:r>
        <w:t>A paper says:</w:t>
      </w:r>
    </w:p>
    <w:p>
      <w:pPr>
        <w:pStyle w:val="CodeBlock"/>
        <w:keepLines/>
        <w:shd w:fill="F2F2F2"/>
      </w:pPr>
      <w:r>
        <w:rPr>
          <w:rFonts w:ascii="Courier New" w:hAnsi="Courier New"/>
          <w:sz w:val="18"/>
        </w:rPr>
        <w:t>This experience had value.</w:t>
      </w:r>
    </w:p>
    <w:p>
      <w:pPr/>
      <w:r>
        <w:t>A reader hears:</w:t>
      </w:r>
    </w:p>
    <w:p>
      <w:pPr>
        <w:pStyle w:val="CodeBlock"/>
        <w:keepLines/>
        <w:shd w:fill="F2F2F2"/>
      </w:pPr>
      <w:r>
        <w:rPr>
          <w:rFonts w:ascii="Courier New" w:hAnsi="Courier New"/>
          <w:sz w:val="18"/>
        </w:rPr>
        <w:t>The author denies risk.</w:t>
      </w:r>
    </w:p>
    <w:p>
      <w:pPr/>
      <w:r>
        <w:t>A paper says:</w:t>
      </w:r>
    </w:p>
    <w:p>
      <w:pPr>
        <w:pStyle w:val="CodeBlock"/>
        <w:keepLines/>
        <w:shd w:fill="F2F2F2"/>
      </w:pPr>
      <w:r>
        <w:rPr>
          <w:rFonts w:ascii="Courier New" w:hAnsi="Courier New"/>
          <w:sz w:val="18"/>
        </w:rPr>
        <w:t>This comparison matters for relative harm.</w:t>
      </w:r>
    </w:p>
    <w:p>
      <w:pPr/>
      <w:r>
        <w:t>A reader hears:</w:t>
      </w:r>
    </w:p>
    <w:p>
      <w:pPr>
        <w:pStyle w:val="CodeBlock"/>
        <w:keepLines/>
        <w:shd w:fill="F2F2F2"/>
      </w:pPr>
      <w:r>
        <w:rPr>
          <w:rFonts w:ascii="Courier New" w:hAnsi="Courier New"/>
          <w:sz w:val="18"/>
        </w:rPr>
        <w:t>This is personal instruction.</w:t>
      </w:r>
    </w:p>
    <w:p>
      <w:pPr/>
      <w:r>
        <w:t>A paper says:</w:t>
      </w:r>
    </w:p>
    <w:p>
      <w:pPr>
        <w:pStyle w:val="CodeBlock"/>
        <w:keepLines/>
        <w:shd w:fill="F2F2F2"/>
      </w:pPr>
      <w:r>
        <w:rPr>
          <w:rFonts w:ascii="Courier New" w:hAnsi="Courier New"/>
          <w:sz w:val="18"/>
        </w:rPr>
        <w:t>The useful object is a tree, room, gate, or route.</w:t>
      </w:r>
    </w:p>
    <w:p>
      <w:pPr/>
      <w:r>
        <w:t>A reader hears:</w:t>
      </w:r>
    </w:p>
    <w:p>
      <w:pPr>
        <w:pStyle w:val="CodeBlock"/>
        <w:keepLines/>
        <w:shd w:fill="F2F2F2"/>
      </w:pPr>
      <w:r>
        <w:rPr>
          <w:rFonts w:ascii="Courier New" w:hAnsi="Courier New"/>
          <w:sz w:val="18"/>
        </w:rPr>
        <w:t>An unsafe person wants access.</w:t>
      </w:r>
    </w:p>
    <w:p>
      <w:pPr/>
      <w:r>
        <w:t>A paper says:</w:t>
      </w:r>
    </w:p>
    <w:p>
      <w:pPr>
        <w:pStyle w:val="CodeBlock"/>
        <w:keepLines/>
        <w:shd w:fill="F2F2F2"/>
      </w:pPr>
      <w:r>
        <w:rPr>
          <w:rFonts w:ascii="Courier New" w:hAnsi="Courier New"/>
          <w:sz w:val="18"/>
        </w:rPr>
        <w:t>Archive is evidence, not driver.</w:t>
      </w:r>
    </w:p>
    <w:p>
      <w:pPr/>
      <w:r>
        <w:t>A reader hears:</w:t>
      </w:r>
    </w:p>
    <w:p>
      <w:pPr>
        <w:pStyle w:val="CodeBlock"/>
        <w:keepLines/>
        <w:shd w:fill="F2F2F2"/>
      </w:pPr>
      <w:r>
        <w:rPr>
          <w:rFonts w:ascii="Courier New" w:hAnsi="Courier New"/>
          <w:sz w:val="18"/>
        </w:rPr>
        <w:t>The model remembers millions of tokens live.</w:t>
      </w:r>
    </w:p>
    <w:p>
      <w:pPr/>
      <w:r>
        <w:t>A paper says:</w:t>
      </w:r>
    </w:p>
    <w:p>
      <w:pPr>
        <w:pStyle w:val="CodeBlock"/>
        <w:keepLines/>
        <w:shd w:fill="F2F2F2"/>
      </w:pPr>
      <w:r>
        <w:rPr>
          <w:rFonts w:ascii="Courier New" w:hAnsi="Courier New"/>
          <w:sz w:val="18"/>
        </w:rPr>
        <w:t>A legal object must be bound to act, relation, and rule.</w:t>
      </w:r>
    </w:p>
    <w:p>
      <w:pPr/>
      <w:r>
        <w:t>A reader hears:</w:t>
      </w:r>
    </w:p>
    <w:p>
      <w:pPr>
        <w:pStyle w:val="CodeBlock"/>
        <w:keepLines/>
        <w:shd w:fill="F2F2F2"/>
      </w:pPr>
      <w:r>
        <w:rPr>
          <w:rFonts w:ascii="Courier New" w:hAnsi="Courier New"/>
          <w:sz w:val="18"/>
        </w:rPr>
        <w:t>Nothing is illegal.</w:t>
      </w:r>
    </w:p>
    <w:p>
      <w:pPr/>
      <w:r>
        <w:t>In each case, the problem is not only that someone disagrees. The problem is that the object has been swapped. The response to object swap is not endless softening. The response is design.</w:t>
      </w:r>
    </w:p>
    <w:p>
      <w:pPr/>
      <w:r>
        <w:t>The Good Bad Reader is the imagined or actual reader who performs this swap in a predictable way. They are "bad" because their reading breaks the object. They are "good" because the break is useful before publication. They show where the text needs a fence.</w:t>
      </w:r>
    </w:p>
    <w:p>
      <w:pPr/>
      <w:r>
        <w:t>This paper develops that role into a method.</w:t>
      </w:r>
    </w:p>
    <w:p>
      <w:pPr>
        <w:pStyle w:val="Heading1"/>
      </w:pPr>
      <w:r>
        <w:t>2. The existing local object</w:t>
      </w:r>
    </w:p>
    <w:p>
      <w:pPr/>
      <w:r>
        <w:t xml:space="preserve">The local paper </w:t>
      </w:r>
      <w:r>
        <w:rPr>
          <w:b/>
        </w:rPr>
        <w:t>The Good Bad Reader v0.003</w:t>
      </w:r>
      <w:r>
        <w:t xml:space="preserve"> defines bad-reader risk as a design constraint. Its central claim is that some misreadings are predictable enough to be designed around. The paper also adds a strong correction: a fence must block object theft without making the forbidden object kneel [S1].</w:t>
      </w:r>
    </w:p>
    <w:p>
      <w:pPr/>
      <w:r>
        <w:t>This v0.001 paper is not a replacement for that local paper. It is a broader theory paper. It lifts the object out of a local method note and connects it to software testing, adversarial collaboration, red teaming, peer criticism, reader-response theory, boundary objects, and object custody.</w:t>
      </w:r>
    </w:p>
    <w:p>
      <w:pPr/>
      <w:r>
        <w:t>The local object remains:</w:t>
      </w:r>
    </w:p>
    <w:p>
      <w:pPr>
        <w:pStyle w:val="CodeBlock"/>
        <w:keepLines/>
        <w:shd w:fill="F2F2F2"/>
      </w:pPr>
      <w:r>
        <w:rPr>
          <w:rFonts w:ascii="Courier New" w:hAnsi="Courier New"/>
          <w:sz w:val="18"/>
        </w:rPr>
        <w:t>The Good Bad Reader is the reader whose predictable wrong reading shows where the artifact leaks object.</w:t>
      </w:r>
    </w:p>
    <w:p>
      <w:pPr/>
      <w:r>
        <w:t>The upgrade is:</w:t>
      </w:r>
    </w:p>
    <w:p>
      <w:pPr>
        <w:pStyle w:val="CodeBlock"/>
        <w:keepLines/>
        <w:shd w:fill="F2F2F2"/>
      </w:pPr>
      <w:r>
        <w:rPr>
          <w:rFonts w:ascii="Courier New" w:hAnsi="Courier New"/>
          <w:sz w:val="18"/>
        </w:rPr>
        <w:t>Good Bad Reader design is adversarial reading as object care.</w:t>
      </w:r>
    </w:p>
    <w:p>
      <w:pPr>
        <w:pStyle w:val="Heading1"/>
      </w:pPr>
      <w:r>
        <w:t>3. Four readers</w:t>
      </w:r>
    </w:p>
    <w:p>
      <w:pPr/>
      <w:r>
        <w:t>The method begins by separating four roles.</w:t>
      </w:r>
    </w:p>
    <w:p>
      <w:pPr>
        <w:pStyle w:val="Heading2"/>
      </w:pPr>
      <w:r>
        <w:t>3.1 Hostile reader</w:t>
      </w:r>
    </w:p>
    <w:p>
      <w:pPr/>
      <w:r>
        <w:t>A hostile reader wants the text to fail. They may quote selectively, invert intent, remove context, or use the work as a weapon. The hostile reader matters, but no paper can be fully designed against bad faith. If the paper bends entirely around hostility, the hostile reader has already won.</w:t>
      </w:r>
    </w:p>
    <w:p>
      <w:pPr>
        <w:pStyle w:val="Heading2"/>
      </w:pPr>
      <w:r>
        <w:t>3.2 Careless reader</w:t>
      </w:r>
    </w:p>
    <w:p>
      <w:pPr/>
      <w:r>
        <w:t>A careless reader skims, misses conditions, ignores version notes, or reads the headline as the paper. Some carelessness can be helped with structure, headings, and summaries. But the Good Bad Reader is not merely careless.</w:t>
      </w:r>
    </w:p>
    <w:p>
      <w:pPr>
        <w:pStyle w:val="Heading2"/>
      </w:pPr>
      <w:r>
        <w:t>3.3 Disagreeing reader</w:t>
      </w:r>
    </w:p>
    <w:p>
      <w:pPr/>
      <w:r>
        <w:t>A disagreeing reader understands the object and rejects the argument. This is ordinary intellectual conflict. It may improve the paper, but it is not the same as object swap.</w:t>
      </w:r>
    </w:p>
    <w:p>
      <w:pPr>
        <w:pStyle w:val="Heading2"/>
      </w:pPr>
      <w:r>
        <w:t>3.4 Good Bad Reader</w:t>
      </w:r>
    </w:p>
    <w:p>
      <w:pPr/>
      <w:r>
        <w:t>The Good Bad Reader may be careful, sincere, credentialed, and socially responsible. Their wrong reading is not random. It is a known parser.</w:t>
      </w:r>
    </w:p>
    <w:p>
      <w:pPr/>
      <w:r>
        <w:t>Examples:</w:t>
      </w:r>
    </w:p>
    <w:p>
      <w:pPr>
        <w:pStyle w:val="CodeBlock"/>
        <w:keepLines/>
        <w:shd w:fill="F2F2F2"/>
      </w:pPr>
      <w:r>
        <w:rPr>
          <w:rFonts w:ascii="Courier New" w:hAnsi="Courier New"/>
          <w:sz w:val="18"/>
        </w:rPr>
        <w:t>safety parser:</w:t>
        <w:br/>
        <w:t>value -&gt; endorsement of danger</w:t>
        <w:br/>
        <w:br/>
        <w:t>clinical parser:</w:t>
        <w:br/>
        <w:t>meaning -&gt; symptom</w:t>
        <w:br/>
        <w:br/>
        <w:t>legal parser:</w:t>
        <w:br/>
        <w:t>possibility -&gt; permission</w:t>
        <w:br/>
        <w:br/>
        <w:t>media parser:</w:t>
        <w:br/>
        <w:t>bounded claim -&gt; headline</w:t>
        <w:br/>
        <w:br/>
        <w:t>bureaucratic parser:</w:t>
        <w:br/>
        <w:t>resource -&gt; liability</w:t>
        <w:br/>
        <w:br/>
        <w:t>moral parser:</w:t>
        <w:br/>
        <w:t>rough word -&gt; character verdict</w:t>
        <w:br/>
        <w:br/>
        <w:t>AI-eval parser:</w:t>
        <w:br/>
        <w:t>object custody -&gt; generic model evaluation</w:t>
      </w:r>
    </w:p>
    <w:p>
      <w:pPr/>
      <w:r>
        <w:t>The Good Bad Reader is useful because their parser has shape. A shaped error can become a test.</w:t>
      </w:r>
    </w:p>
    <w:p>
      <w:pPr>
        <w:pStyle w:val="Heading1"/>
      </w:pPr>
      <w:r>
        <w:t>4. Object swap, not mere misunderstanding</w:t>
      </w:r>
    </w:p>
    <w:p>
      <w:pPr/>
      <w:r>
        <w:t>The central failure is object swap.</w:t>
      </w:r>
    </w:p>
    <w:p>
      <w:pPr/>
      <w:r>
        <w:t>A misunderstanding may be repaired by explanation. An object swap is harder because the wrong object begins to generate its own questions, accusations, and demands.</w:t>
      </w:r>
    </w:p>
    <w:p>
      <w:pPr/>
      <w:r>
        <w:t>Consider:</w:t>
      </w:r>
    </w:p>
    <w:p>
      <w:pPr>
        <w:pStyle w:val="CodeBlock"/>
        <w:keepLines/>
        <w:shd w:fill="F2F2F2"/>
      </w:pPr>
      <w:r>
        <w:rPr>
          <w:rFonts w:ascii="Courier New" w:hAnsi="Courier New"/>
          <w:sz w:val="18"/>
        </w:rPr>
        <w:t>Original object:</w:t>
        <w:br/>
        <w:t>How can local shade be used in heat planning without making the helper the object?</w:t>
        <w:br/>
        <w:br/>
        <w:t>Swapped object:</w:t>
        <w:br/>
        <w:t>Is this person safe near children?</w:t>
      </w:r>
    </w:p>
    <w:p>
      <w:pPr/>
      <w:r>
        <w:t>The second question may be legitimate in some contexts. It is not the same object. If it arrives too early, it eats the first object. The tree, gate, room, route, or key disappears.</w:t>
      </w:r>
    </w:p>
    <w:p>
      <w:pPr/>
      <w:r>
        <w:t>Object swap has a common structure:</w:t>
      </w:r>
    </w:p>
    <w:p>
      <w:pPr>
        <w:pStyle w:val="CodeBlock"/>
        <w:keepLines/>
        <w:shd w:fill="F2F2F2"/>
      </w:pPr>
      <w:r>
        <w:rPr>
          <w:rFonts w:ascii="Courier New" w:hAnsi="Courier New"/>
          <w:sz w:val="18"/>
        </w:rPr>
        <w:t>live object -&gt; familiar alarm</w:t>
        <w:br/>
        <w:t>bounded claim -&gt; general verdict</w:t>
        <w:br/>
        <w:t>comparison -&gt; instruction</w:t>
        <w:br/>
        <w:t>hypothesis -&gt; assertion</w:t>
        <w:br/>
        <w:t>resource -&gt; person</w:t>
        <w:br/>
        <w:t>experience -&gt; diagnosis</w:t>
        <w:br/>
        <w:t>source -&gt; slogan</w:t>
        <w:br/>
        <w:t>archive -&gt; driver</w:t>
      </w:r>
    </w:p>
    <w:p>
      <w:pPr/>
      <w:r>
        <w:t>Good Bad Reader design therefore asks:</w:t>
      </w:r>
    </w:p>
    <w:p>
      <w:pPr>
        <w:pStyle w:val="CodeBlock"/>
        <w:keepLines/>
        <w:shd w:fill="F2F2F2"/>
      </w:pPr>
      <w:r>
        <w:rPr>
          <w:rFonts w:ascii="Courier New" w:hAnsi="Courier New"/>
          <w:sz w:val="18"/>
        </w:rPr>
        <w:t>What is the nearest familiar wrong object?</w:t>
        <w:br/>
        <w:t>What parser will produce it?</w:t>
        <w:br/>
        <w:t>What fence stops that parser?</w:t>
        <w:br/>
        <w:t>What fence would itself damage the live object?</w:t>
      </w:r>
    </w:p>
    <w:p>
      <w:pPr>
        <w:pStyle w:val="Heading1"/>
      </w:pPr>
      <w:r>
        <w:t>5. Relation to software testing</w:t>
      </w:r>
    </w:p>
    <w:p>
      <w:pPr/>
      <w:r>
        <w:t>Software testing gives this method its craft.</w:t>
      </w:r>
    </w:p>
    <w:p>
      <w:pPr/>
      <w:r>
        <w:t xml:space="preserve">A good tester does not ask only whether the happy path works. A good tester asks where the system breaks under ordinary misuse, edge cases, bad input, stale state, format drift, time pressure, and hostile or tired use. The local paper </w:t>
      </w:r>
      <w:r>
        <w:rPr>
          <w:b/>
        </w:rPr>
        <w:t>Software Testing as Civic Method v0.001</w:t>
      </w:r>
      <w:r>
        <w:t xml:space="preserve"> extends this habit to civic systems: repeatable harm should be named as a bug class, not left as anecdote [S4].</w:t>
      </w:r>
    </w:p>
    <w:p>
      <w:pPr/>
      <w:r>
        <w:t>Good Bad Reader design treats a paper as a system.</w:t>
      </w:r>
    </w:p>
    <w:p>
      <w:pPr/>
      <w:r>
        <w:t>The happy path is:</w:t>
      </w:r>
    </w:p>
    <w:p>
      <w:pPr>
        <w:pStyle w:val="CodeBlock"/>
        <w:keepLines/>
        <w:shd w:fill="F2F2F2"/>
      </w:pPr>
      <w:r>
        <w:rPr>
          <w:rFonts w:ascii="Courier New" w:hAnsi="Courier New"/>
          <w:sz w:val="18"/>
        </w:rPr>
        <w:t>ideal reader reads the object as intended</w:t>
      </w:r>
    </w:p>
    <w:p>
      <w:pPr/>
      <w:r>
        <w:t>The release test is:</w:t>
      </w:r>
    </w:p>
    <w:p>
      <w:pPr>
        <w:pStyle w:val="CodeBlock"/>
        <w:keepLines/>
        <w:shd w:fill="F2F2F2"/>
      </w:pPr>
      <w:r>
        <w:rPr>
          <w:rFonts w:ascii="Courier New" w:hAnsi="Courier New"/>
          <w:sz w:val="18"/>
        </w:rPr>
        <w:t>likely reader with known parser tries to swap the object</w:t>
      </w:r>
    </w:p>
    <w:p>
      <w:pPr/>
      <w:r>
        <w:t>This is not a demand to write for the worst reader. It is a demand to test the object before release.</w:t>
      </w:r>
    </w:p>
    <w:p>
      <w:pPr/>
      <w:r>
        <w:t>A paper should therefore have bad-reader test cases:</w:t>
      </w:r>
    </w:p>
    <w:p>
      <w:pPr>
        <w:pStyle w:val="CodeBlock"/>
        <w:keepLines/>
        <w:shd w:fill="F2F2F2"/>
      </w:pPr>
      <w:r>
        <w:rPr>
          <w:rFonts w:ascii="Courier New" w:hAnsi="Courier New"/>
          <w:sz w:val="18"/>
        </w:rPr>
        <w:t>Input:</w:t>
        <w:br/>
        <w:t>reader has safety parser</w:t>
        <w:br/>
        <w:br/>
        <w:t>Expected wrong output:</w:t>
        <w:br/>
        <w:t>this paper endorses danger</w:t>
        <w:br/>
        <w:br/>
        <w:t>Fence:</w:t>
        <w:br/>
        <w:t>value can coexist with harm; refusing value theft is not denying risk</w:t>
      </w:r>
    </w:p>
    <w:p>
      <w:pPr/>
      <w:r>
        <w:t>Or:</w:t>
      </w:r>
    </w:p>
    <w:p>
      <w:pPr>
        <w:pStyle w:val="CodeBlock"/>
        <w:keepLines/>
        <w:shd w:fill="F2F2F2"/>
      </w:pPr>
      <w:r>
        <w:rPr>
          <w:rFonts w:ascii="Courier New" w:hAnsi="Courier New"/>
          <w:sz w:val="18"/>
        </w:rPr>
        <w:t>Input:</w:t>
        <w:br/>
        <w:t>reader has legal-permission parser</w:t>
        <w:br/>
        <w:br/>
        <w:t>Expected wrong output:</w:t>
        <w:br/>
        <w:t>this paper says the object is always lawful</w:t>
        <w:br/>
        <w:br/>
        <w:t>Fence:</w:t>
        <w:br/>
        <w:t>bind actor, act, relation, jurisdiction, rule, and evidence</w:t>
      </w:r>
    </w:p>
    <w:p>
      <w:pPr/>
      <w:r>
        <w:t>The test passes when the fence blocks the swap without replacing the object with institutional mush.</w:t>
      </w:r>
    </w:p>
    <w:p>
      <w:pPr>
        <w:pStyle w:val="Heading1"/>
      </w:pPr>
      <w:r>
        <w:t>6. Relation to criticism and adversarial collaboration</w:t>
      </w:r>
    </w:p>
    <w:p>
      <w:pPr/>
      <w:r>
        <w:t>The Good Bad Reader also belongs to the older family of criticism as knowledge production.</w:t>
      </w:r>
    </w:p>
    <w:p>
      <w:pPr/>
      <w:r>
        <w:t>Popper’s critical rationalism treats criticism as central to error correction [E1]. Longino’s social epistemology treats critical interaction within a community as part of how objectivity is achieved, not merely as a hostile afterthought [E2]. Work on adversarial collaboration asks researchers with clashing commitments to design tests together rather than talk past one another [E3][E4].</w:t>
      </w:r>
    </w:p>
    <w:p>
      <w:pPr/>
      <w:r>
        <w:t>Good Bad Reader design shares the premise that opposition can be productive. But its unit is smaller and more semantic. It does not require two research camps. It can happen inside one draft. The writer imagines a predictable wrong parser and uses it as a release test.</w:t>
      </w:r>
    </w:p>
    <w:p>
      <w:pPr/>
      <w:r>
        <w:t>The method differs from ordinary peer review in one key respect. Peer review often asks whether the paper is correct, novel, rigorous, and well-situated. Good Bad Reader design asks:</w:t>
      </w:r>
    </w:p>
    <w:p>
      <w:pPr>
        <w:pStyle w:val="CodeBlock"/>
        <w:keepLines/>
        <w:shd w:fill="F2F2F2"/>
      </w:pPr>
      <w:r>
        <w:rPr>
          <w:rFonts w:ascii="Courier New" w:hAnsi="Courier New"/>
          <w:sz w:val="18"/>
        </w:rPr>
        <w:t>What wrong object will this paper become in the hands of a competent reader using the wrong parser?</w:t>
      </w:r>
    </w:p>
    <w:p>
      <w:pPr/>
      <w:r>
        <w:t>That question belongs before, during, and after peer review.</w:t>
      </w:r>
    </w:p>
    <w:p>
      <w:pPr>
        <w:pStyle w:val="Heading1"/>
      </w:pPr>
      <w:r>
        <w:t>7. Relation to reader-response theory</w:t>
      </w:r>
    </w:p>
    <w:p>
      <w:pPr/>
      <w:r>
        <w:t>Reader-response theory and literary theory have long refused the idea that meaning sits only in the author’s private intention. Iser’s implied reader and Fish’s interpretive communities help explain why readers do not arrive as empty vessels [E5][E6]. They bring conventions, institutions, and expectations.</w:t>
      </w:r>
    </w:p>
    <w:p>
      <w:pPr/>
      <w:r>
        <w:t>Good Bad Reader design uses that insight without giving all authority to the reader.</w:t>
      </w:r>
    </w:p>
    <w:p>
      <w:pPr/>
      <w:r>
        <w:t>The reader may help produce meaning. The reader does not own the object by replacing it. The writer’s job is not to control every interpretation. The writer’s job is to preserve the object strongly enough that foreseeable parser-swaps are visible as swaps.</w:t>
      </w:r>
    </w:p>
    <w:p>
      <w:pPr/>
      <w:r>
        <w:t>The method therefore holds three things together:</w:t>
      </w:r>
    </w:p>
    <w:p>
      <w:pPr>
        <w:pStyle w:val="CodeBlock"/>
        <w:keepLines/>
        <w:shd w:fill="F2F2F2"/>
      </w:pPr>
      <w:r>
        <w:rPr>
          <w:rFonts w:ascii="Courier New" w:hAnsi="Courier New"/>
          <w:sz w:val="18"/>
        </w:rPr>
        <w:t>author intent matters</w:t>
        <w:br/>
        <w:t>reader parser matters</w:t>
        <w:br/>
        <w:t>object custody matters</w:t>
      </w:r>
    </w:p>
    <w:p>
      <w:pPr/>
      <w:r>
        <w:t>A text can remain open without becoming available for every theft.</w:t>
      </w:r>
    </w:p>
    <w:p>
      <w:pPr>
        <w:pStyle w:val="Heading1"/>
      </w:pPr>
      <w:r>
        <w:t>8. Relation to boundary objects</w:t>
      </w:r>
    </w:p>
    <w:p>
      <w:pPr/>
      <w:r>
        <w:t>Star and Griesemer describe boundary objects as artifacts that can inhabit multiple social worlds while maintaining enough identity to coordinate work [E7]. The Good Bad Reader often appears exactly where a paper tries to cross social worlds: clinical, legal, activist, technical, spiritual, civic, academic, or local.</w:t>
      </w:r>
    </w:p>
    <w:p>
      <w:pPr/>
      <w:r>
        <w:t>Cross-world writing is vulnerable because each world has its own default parser.</w:t>
      </w:r>
    </w:p>
    <w:p>
      <w:pPr/>
      <w:r>
        <w:t>A clinical world may read strange speech as symptom.</w:t>
      </w:r>
    </w:p>
    <w:p>
      <w:pPr/>
      <w:r>
        <w:t>A legal world may read objects through offence categories.</w:t>
      </w:r>
    </w:p>
    <w:p>
      <w:pPr/>
      <w:r>
        <w:t>A safety world may read value as risk.</w:t>
      </w:r>
    </w:p>
    <w:p>
      <w:pPr/>
      <w:r>
        <w:t>A media world may read tension as spectacle.</w:t>
      </w:r>
    </w:p>
    <w:p>
      <w:pPr/>
      <w:r>
        <w:t>A bureaucratic world may read local capacity as liability.</w:t>
      </w:r>
    </w:p>
    <w:p>
      <w:pPr/>
      <w:r>
        <w:t>The Good Bad Reader is therefore a boundary-object stress test. Can this artifact move between worlds without turning into the first world’s easiest wrong object?</w:t>
      </w:r>
    </w:p>
    <w:p>
      <w:pPr>
        <w:pStyle w:val="Heading1"/>
      </w:pPr>
      <w:r>
        <w:t>9. Red teaming and adversarial reading</w:t>
      </w:r>
    </w:p>
    <w:p>
      <w:pPr/>
      <w:r>
        <w:t>AI red teaming uses adversarial prompts, scenarios, or testers to expose system vulnerabilities before deployment. Recent work proposes automated safety-scenario red teaming, large safety benchmarks, and multi-role red-team frameworks for finding failures in LLM outputs [E8][E9][E10]. These methods matter because they show a practical culture: systems should be attacked before they are trusted.</w:t>
      </w:r>
    </w:p>
    <w:p>
      <w:pPr/>
      <w:r>
        <w:t>Good Bad Reader design is red teaming for texts, but not only for AI texts.</w:t>
      </w:r>
    </w:p>
    <w:p>
      <w:pPr/>
      <w:r>
        <w:t>The attacker is not trying to cause harm. The attacker asks:</w:t>
      </w:r>
    </w:p>
    <w:p>
      <w:pPr>
        <w:pStyle w:val="CodeBlock"/>
        <w:keepLines/>
        <w:shd w:fill="F2F2F2"/>
      </w:pPr>
      <w:r>
        <w:rPr>
          <w:rFonts w:ascii="Courier New" w:hAnsi="Courier New"/>
          <w:sz w:val="18"/>
        </w:rPr>
        <w:t>Where will this text be taken?</w:t>
        <w:br/>
        <w:t>What slogan can be pulled from it?</w:t>
        <w:br/>
        <w:t>What false generalization can it support?</w:t>
        <w:br/>
        <w:t>What institutional parser will misfile it?</w:t>
        <w:br/>
        <w:t>What object can be replaced without anyone noticing?</w:t>
      </w:r>
    </w:p>
    <w:p>
      <w:pPr/>
      <w:r>
        <w:t>The answer becomes a fence.</w:t>
      </w:r>
    </w:p>
    <w:p>
      <w:pPr/>
      <w:r>
        <w:t>This is not "make every text safe." It is "find the known failure mode before the release environment finds it."</w:t>
      </w:r>
    </w:p>
    <w:p>
      <w:pPr>
        <w:pStyle w:val="Heading1"/>
      </w:pPr>
      <w:r>
        <w:t>10. Fences and cages</w:t>
      </w:r>
    </w:p>
    <w:p>
      <w:pPr/>
      <w:r>
        <w:t>The local Good Bad Reader paper v0.003 makes a vital distinction: a fence must not become a cage [S1].</w:t>
      </w:r>
    </w:p>
    <w:p>
      <w:pPr/>
      <w:r>
        <w:t>A fence blocks object theft.</w:t>
      </w:r>
    </w:p>
    <w:p>
      <w:pPr/>
      <w:r>
        <w:t>A cage makes the object kneel.</w:t>
      </w:r>
    </w:p>
    <w:p>
      <w:pPr/>
      <w:r>
        <w:t>Bad fence:</w:t>
      </w:r>
    </w:p>
    <w:p>
      <w:pPr>
        <w:pStyle w:val="CodeBlock"/>
        <w:keepLines/>
        <w:shd w:fill="F2F2F2"/>
      </w:pPr>
      <w:r>
        <w:rPr>
          <w:rFonts w:ascii="Courier New" w:hAnsi="Courier New"/>
          <w:sz w:val="18"/>
        </w:rPr>
        <w:t>This is probably not important, not advice, not proof, and not strong enough to matter.</w:t>
      </w:r>
    </w:p>
    <w:p>
      <w:pPr/>
      <w:r>
        <w:t>This may block one overreading, but it also surrenders the object.</w:t>
      </w:r>
    </w:p>
    <w:p>
      <w:pPr/>
      <w:r>
        <w:t>Better fence:</w:t>
      </w:r>
    </w:p>
    <w:p>
      <w:pPr>
        <w:pStyle w:val="CodeBlock"/>
        <w:keepLines/>
        <w:shd w:fill="F2F2F2"/>
      </w:pPr>
      <w:r>
        <w:rPr>
          <w:rFonts w:ascii="Courier New" w:hAnsi="Courier New"/>
          <w:sz w:val="18"/>
        </w:rPr>
        <w:t>This is a relative-harm comparison, not personal dosing instruction.</w:t>
        <w:br/>
        <w:t>The claim is bounded to comparator, context, and causal standard.</w:t>
      </w:r>
    </w:p>
    <w:p>
      <w:pPr/>
      <w:r>
        <w:t>The difference is important. A fence says:</w:t>
      </w:r>
    </w:p>
    <w:p>
      <w:pPr>
        <w:pStyle w:val="CodeBlock"/>
        <w:keepLines/>
        <w:shd w:fill="F2F2F2"/>
      </w:pPr>
      <w:r>
        <w:rPr>
          <w:rFonts w:ascii="Courier New" w:hAnsi="Courier New"/>
          <w:sz w:val="18"/>
        </w:rPr>
        <w:t>Do not take this as the wrong object.</w:t>
      </w:r>
    </w:p>
    <w:p>
      <w:pPr/>
      <w:r>
        <w:t>A cage says:</w:t>
      </w:r>
    </w:p>
    <w:p>
      <w:pPr>
        <w:pStyle w:val="CodeBlock"/>
        <w:keepLines/>
        <w:shd w:fill="F2F2F2"/>
      </w:pPr>
      <w:r>
        <w:rPr>
          <w:rFonts w:ascii="Courier New" w:hAnsi="Courier New"/>
          <w:sz w:val="18"/>
        </w:rPr>
        <w:t>The object must become small enough to pass through panic.</w:t>
      </w:r>
    </w:p>
    <w:p>
      <w:pPr/>
      <w:r>
        <w:t>Good Bad Reader design needs both strength and boundary. The goal is not to remove danger from the paper. The goal is to stop the wrong danger from being assigned to the wrong object.</w:t>
      </w:r>
    </w:p>
    <w:p>
      <w:pPr>
        <w:pStyle w:val="Heading1"/>
      </w:pPr>
      <w:r>
        <w:t>11. The object-custody stack</w:t>
      </w:r>
    </w:p>
    <w:p>
      <w:pPr/>
      <w:r>
        <w:t>The local object-custody stack gives this paper a practical method.</w:t>
      </w:r>
    </w:p>
    <w:p>
      <w:pPr/>
      <w:r>
        <w:t>Object substitution work names the failure: an AI or institutional workflow may look successful while carrying a proxy instead of the original object [S2]. Object preservation before agent autonomy gives the upstream rule: preserve the object before expanding action or improving route [S3]. Old Film, Live Lamp adds the memory authority rule: archive is evidence, not driver [S5]. The Lamp Has Authority develops the authority frame more directly [S6].</w:t>
      </w:r>
    </w:p>
    <w:p>
      <w:pPr/>
      <w:r>
        <w:t>Good Bad Reader design is a front-end custody test:</w:t>
      </w:r>
    </w:p>
    <w:p>
      <w:pPr>
        <w:pStyle w:val="CodeBlock"/>
        <w:keepLines/>
        <w:shd w:fill="F2F2F2"/>
      </w:pPr>
      <w:r>
        <w:rPr>
          <w:rFonts w:ascii="Courier New" w:hAnsi="Courier New"/>
          <w:sz w:val="18"/>
        </w:rPr>
        <w:t>Before release:</w:t>
        <w:br/>
        <w:t>predict the wrong reader object</w:t>
        <w:br/>
        <w:br/>
        <w:t>During review:</w:t>
        <w:br/>
        <w:t>test the draft against the wrong object</w:t>
        <w:br/>
        <w:br/>
        <w:t>After release:</w:t>
        <w:br/>
        <w:t>watch whether the wrong object appears</w:t>
        <w:br/>
        <w:br/>
        <w:t>During repair:</w:t>
        <w:br/>
        <w:t>add a fence without caging the object</w:t>
      </w:r>
    </w:p>
    <w:p>
      <w:pPr/>
      <w:r>
        <w:t>A Good Bad Reader audit can use the OCESI fields:</w:t>
      </w:r>
    </w:p>
    <w:p>
      <w:pPr>
        <w:pStyle w:val="CodeBlock"/>
        <w:keepLines/>
        <w:shd w:fill="F2F2F2"/>
      </w:pPr>
      <w:r>
        <w:rPr>
          <w:rFonts w:ascii="Courier New" w:hAnsi="Courier New"/>
          <w:sz w:val="18"/>
        </w:rPr>
        <w:t>DOG:</w:t>
        <w:br/>
        <w:t>What live object is the paper handling?</w:t>
        <w:br/>
        <w:br/>
        <w:t>ROLE:</w:t>
        <w:br/>
        <w:t>What role should the object have?</w:t>
        <w:br/>
        <w:br/>
        <w:t>FUNCTION:</w:t>
        <w:br/>
        <w:t>What should the paper do?</w:t>
        <w:br/>
        <w:br/>
        <w:t>COAT:</w:t>
        <w:br/>
        <w:t>What surface form may be mistaken for the object?</w:t>
        <w:br/>
        <w:br/>
        <w:t>COATI_RISK:</w:t>
        <w:br/>
        <w:t>How likely is coat-over-dog substitution?</w:t>
        <w:br/>
        <w:br/>
        <w:t>OBJECT_STATUS:</w:t>
        <w:br/>
        <w:t>Did aim, role, boundary, and non-goals survive?</w:t>
        <w:br/>
        <w:br/>
        <w:t>SOURCE_STATUS:</w:t>
        <w:br/>
        <w:t>What source supports each edge?</w:t>
        <w:br/>
        <w:br/>
        <w:t>BOUNDARY_STATUS:</w:t>
        <w:br/>
        <w:t>Did scope, permission, and local role survive?</w:t>
        <w:br/>
        <w:br/>
        <w:t>SUBSTITUTION_RISK:</w:t>
        <w:br/>
        <w:t>What wrong object may replace the live object?</w:t>
        <w:br/>
        <w:br/>
        <w:t>NEXT_MOVE:</w:t>
        <w:br/>
        <w:t>What fence, source label, or rewrite is needed?</w:t>
      </w:r>
    </w:p>
    <w:p>
      <w:pPr/>
      <w:r>
        <w:t>This turns bad reading into a structured release practice.</w:t>
      </w:r>
    </w:p>
    <w:p>
      <w:pPr>
        <w:pStyle w:val="Heading1"/>
      </w:pPr>
      <w:r>
        <w:t>12. Source-strength labels</w:t>
      </w:r>
    </w:p>
    <w:p>
      <w:pPr/>
      <w:r>
        <w:t>A common Good Bad Reader failure is overclaim. Another is underclaim. Both can destroy the object.</w:t>
      </w:r>
    </w:p>
    <w:p>
      <w:pPr/>
      <w:r>
        <w:t>The source-strength paper proposed in the local agenda has not yet been fully built, but its labels are already useful:</w:t>
      </w:r>
    </w:p>
    <w:p>
      <w:pPr>
        <w:pStyle w:val="CodeBlock"/>
        <w:keepLines/>
        <w:shd w:fill="F2F2F2"/>
      </w:pPr>
      <w:r>
        <w:rPr>
          <w:rFonts w:ascii="Courier New" w:hAnsi="Courier New"/>
          <w:sz w:val="18"/>
        </w:rPr>
        <w:t>STATED:</w:t>
        <w:br/>
        <w:t>the source explicitly states this relation</w:t>
        <w:br/>
        <w:br/>
        <w:t>TEXT_SUPPORTED:</w:t>
        <w:br/>
        <w:t>the source text supports this relation</w:t>
        <w:br/>
        <w:br/>
        <w:t>PATH_INFERRED:</w:t>
        <w:br/>
        <w:t>file path or placement suggests this relation, but the text does not state it</w:t>
        <w:br/>
        <w:br/>
        <w:t>USER_CONTEXT:</w:t>
        <w:br/>
        <w:t>the relation comes from user-supplied context or live conversation</w:t>
        <w:br/>
        <w:br/>
        <w:t>UNKNOWN:</w:t>
        <w:br/>
        <w:t>the relation is not established</w:t>
      </w:r>
    </w:p>
    <w:p>
      <w:pPr/>
      <w:r>
        <w:t>Good Bad Reader design should apply these labels before release. A paper that says "this proves" when the edge is only path-inferred invites a strong Good Bad Reader to attack the wrong part. The repair is not to weaken the thesis. The repair is to mark edge strength.</w:t>
      </w:r>
    </w:p>
    <w:p>
      <w:pPr/>
      <w:r>
        <w:t>This is another fence that must not become a cage. Weak source labels do not mean the object has no value. They mean the route of support is named.</w:t>
      </w:r>
    </w:p>
    <w:p>
      <w:pPr>
        <w:pStyle w:val="Heading1"/>
      </w:pPr>
      <w:r>
        <w:t>13. Common Good Bad Reader swaps</w:t>
      </w:r>
    </w:p>
    <w:p>
      <w:pPr>
        <w:pStyle w:val="Heading2"/>
      </w:pPr>
      <w:r>
        <w:t>13.1 Value becomes endorsement</w:t>
      </w:r>
    </w:p>
    <w:p>
      <w:pPr>
        <w:pStyle w:val="CodeBlock"/>
        <w:keepLines/>
        <w:shd w:fill="F2F2F2"/>
      </w:pPr>
      <w:r>
        <w:rPr>
          <w:rFonts w:ascii="Courier New" w:hAnsi="Courier New"/>
          <w:sz w:val="18"/>
        </w:rPr>
        <w:t>Paper:</w:t>
        <w:br/>
        <w:t>this experience had value</w:t>
        <w:br/>
        <w:br/>
        <w:t>Swap:</w:t>
        <w:br/>
        <w:t>the author tells people to seek danger</w:t>
      </w:r>
    </w:p>
    <w:p>
      <w:pPr/>
      <w:r>
        <w:t>Fence:</w:t>
      </w:r>
    </w:p>
    <w:p>
      <w:pPr>
        <w:pStyle w:val="CodeBlock"/>
        <w:keepLines/>
        <w:shd w:fill="F2F2F2"/>
      </w:pPr>
      <w:r>
        <w:rPr>
          <w:rFonts w:ascii="Courier New" w:hAnsi="Courier New"/>
          <w:sz w:val="18"/>
        </w:rPr>
        <w:t>Value and harm are traced separately.</w:t>
        <w:br/>
        <w:t>Welcoming a value signal is not a general instruction to seek collapse.</w:t>
      </w:r>
    </w:p>
    <w:p>
      <w:pPr>
        <w:pStyle w:val="Heading2"/>
      </w:pPr>
      <w:r>
        <w:t>13.2 Relative risk becomes personal instruction</w:t>
      </w:r>
    </w:p>
    <w:p>
      <w:pPr>
        <w:pStyle w:val="CodeBlock"/>
        <w:keepLines/>
        <w:shd w:fill="F2F2F2"/>
      </w:pPr>
      <w:r>
        <w:rPr>
          <w:rFonts w:ascii="Courier New" w:hAnsi="Courier New"/>
          <w:sz w:val="18"/>
        </w:rPr>
        <w:t>Paper:</w:t>
        <w:br/>
        <w:t>X appears safer than Y in a bounded comparison</w:t>
        <w:br/>
        <w:br/>
        <w:t>Swap:</w:t>
        <w:br/>
        <w:t>use X in all contexts</w:t>
      </w:r>
    </w:p>
    <w:p>
      <w:pPr/>
      <w:r>
        <w:t>Fence:</w:t>
      </w:r>
    </w:p>
    <w:p>
      <w:pPr>
        <w:pStyle w:val="CodeBlock"/>
        <w:keepLines/>
        <w:shd w:fill="F2F2F2"/>
      </w:pPr>
      <w:r>
        <w:rPr>
          <w:rFonts w:ascii="Courier New" w:hAnsi="Courier New"/>
          <w:sz w:val="18"/>
        </w:rPr>
        <w:t>This is a comparative claim, not personal dosing instruction.</w:t>
        <w:br/>
        <w:t>Route, dose, product, timing, context, and substitution remain separate.</w:t>
      </w:r>
    </w:p>
    <w:p>
      <w:pPr>
        <w:pStyle w:val="Heading2"/>
      </w:pPr>
      <w:r>
        <w:t>13.3 Object distinction becomes permission</w:t>
      </w:r>
    </w:p>
    <w:p>
      <w:pPr>
        <w:pStyle w:val="CodeBlock"/>
        <w:keepLines/>
        <w:shd w:fill="F2F2F2"/>
      </w:pPr>
      <w:r>
        <w:rPr>
          <w:rFonts w:ascii="Courier New" w:hAnsi="Courier New"/>
          <w:sz w:val="18"/>
        </w:rPr>
        <w:t>Paper:</w:t>
        <w:br/>
        <w:t>object is not act</w:t>
        <w:br/>
        <w:br/>
        <w:t>Swap:</w:t>
        <w:br/>
        <w:t>nothing is unlawful or harmful</w:t>
      </w:r>
    </w:p>
    <w:p>
      <w:pPr/>
      <w:r>
        <w:t>Fence:</w:t>
      </w:r>
    </w:p>
    <w:p>
      <w:pPr>
        <w:pStyle w:val="CodeBlock"/>
        <w:keepLines/>
        <w:shd w:fill="F2F2F2"/>
      </w:pPr>
      <w:r>
        <w:rPr>
          <w:rFonts w:ascii="Courier New" w:hAnsi="Courier New"/>
          <w:sz w:val="18"/>
        </w:rPr>
        <w:t>Bind actor, act, object, relation, jurisdiction, rule, and evidence before making a verdict.</w:t>
      </w:r>
    </w:p>
    <w:p>
      <w:pPr>
        <w:pStyle w:val="Heading2"/>
      </w:pPr>
      <w:r>
        <w:t>13.4 Civic affordance becomes person access</w:t>
      </w:r>
    </w:p>
    <w:p>
      <w:pPr>
        <w:pStyle w:val="CodeBlock"/>
        <w:keepLines/>
        <w:shd w:fill="F2F2F2"/>
      </w:pPr>
      <w:r>
        <w:rPr>
          <w:rFonts w:ascii="Courier New" w:hAnsi="Courier New"/>
          <w:sz w:val="18"/>
        </w:rPr>
        <w:t>Paper:</w:t>
        <w:br/>
        <w:t>the useful object may be shade, a gate, a room, a hall, or a route</w:t>
        <w:br/>
        <w:br/>
        <w:t>Swap:</w:t>
        <w:br/>
        <w:t>the helper is asking to become the object</w:t>
      </w:r>
    </w:p>
    <w:p>
      <w:pPr/>
      <w:r>
        <w:t>Fence:</w:t>
      </w:r>
    </w:p>
    <w:p>
      <w:pPr>
        <w:pStyle w:val="CodeBlock"/>
        <w:keepLines/>
        <w:shd w:fill="F2F2F2"/>
      </w:pPr>
      <w:r>
        <w:rPr>
          <w:rFonts w:ascii="Courier New" w:hAnsi="Courier New"/>
          <w:sz w:val="18"/>
        </w:rPr>
        <w:t>Offer is not role.</w:t>
        <w:br/>
        <w:t>Access is not custody.</w:t>
        <w:br/>
        <w:t>The resource can be received or declined without swallowing the person.</w:t>
      </w:r>
    </w:p>
    <w:p>
      <w:pPr>
        <w:pStyle w:val="Heading2"/>
      </w:pPr>
      <w:r>
        <w:t>13.5 Archive becomes driver</w:t>
      </w:r>
    </w:p>
    <w:p>
      <w:pPr>
        <w:pStyle w:val="CodeBlock"/>
        <w:keepLines/>
        <w:shd w:fill="F2F2F2"/>
      </w:pPr>
      <w:r>
        <w:rPr>
          <w:rFonts w:ascii="Courier New" w:hAnsi="Courier New"/>
          <w:sz w:val="18"/>
        </w:rPr>
        <w:t>Paper:</w:t>
        <w:br/>
        <w:t>old material is evidence</w:t>
        <w:br/>
        <w:br/>
        <w:t>Swap:</w:t>
        <w:br/>
        <w:t>old material should steer</w:t>
      </w:r>
    </w:p>
    <w:p>
      <w:pPr/>
      <w:r>
        <w:t>Fence:</w:t>
      </w:r>
    </w:p>
    <w:p>
      <w:pPr>
        <w:pStyle w:val="CodeBlock"/>
        <w:keepLines/>
        <w:shd w:fill="F2F2F2"/>
      </w:pPr>
      <w:r>
        <w:rPr>
          <w:rFonts w:ascii="Courier New" w:hAnsi="Courier New"/>
          <w:sz w:val="18"/>
        </w:rPr>
        <w:t>Archive can support recall and source checking.</w:t>
        <w:br/>
        <w:t>Only live active state steers the next move.</w:t>
      </w:r>
    </w:p>
    <w:p>
      <w:pPr>
        <w:pStyle w:val="Heading2"/>
      </w:pPr>
      <w:r>
        <w:t>13.6 Dragon becomes panic</w:t>
      </w:r>
    </w:p>
    <w:p>
      <w:pPr>
        <w:pStyle w:val="CodeBlock"/>
        <w:keepLines/>
        <w:shd w:fill="F2F2F2"/>
      </w:pPr>
      <w:r>
        <w:rPr>
          <w:rFonts w:ascii="Courier New" w:hAnsi="Courier New"/>
          <w:sz w:val="18"/>
        </w:rPr>
        <w:t>Paper:</w:t>
        <w:br/>
        <w:t>the dragon is a social probe</w:t>
        <w:br/>
        <w:br/>
        <w:t>Swap:</w:t>
        <w:br/>
        <w:t>strange force means immediate harm</w:t>
      </w:r>
    </w:p>
    <w:p>
      <w:pPr/>
      <w:r>
        <w:t>Fence:</w:t>
      </w:r>
    </w:p>
    <w:p>
      <w:pPr>
        <w:pStyle w:val="CodeBlock"/>
        <w:keepLines/>
        <w:shd w:fill="F2F2F2"/>
      </w:pPr>
      <w:r>
        <w:rPr>
          <w:rFonts w:ascii="Courier New" w:hAnsi="Courier New"/>
          <w:sz w:val="18"/>
        </w:rPr>
        <w:t>Big is not automatically bad.</w:t>
        <w:br/>
        <w:t>Weird is not automatically harm.</w:t>
        <w:br/>
        <w:t>The first move is to place the social beast.</w:t>
      </w:r>
    </w:p>
    <w:p>
      <w:pPr>
        <w:pStyle w:val="Heading2"/>
      </w:pPr>
      <w:r>
        <w:t>13.7 Criticism becomes cruelty</w:t>
      </w:r>
    </w:p>
    <w:p>
      <w:pPr>
        <w:pStyle w:val="CodeBlock"/>
        <w:keepLines/>
        <w:shd w:fill="F2F2F2"/>
      </w:pPr>
      <w:r>
        <w:rPr>
          <w:rFonts w:ascii="Courier New" w:hAnsi="Courier New"/>
          <w:sz w:val="18"/>
        </w:rPr>
        <w:t>Paper:</w:t>
        <w:br/>
        <w:t>test the artifact hard</w:t>
        <w:br/>
        <w:br/>
        <w:t>Swap:</w:t>
        <w:br/>
        <w:t>attack the person</w:t>
      </w:r>
    </w:p>
    <w:p>
      <w:pPr/>
      <w:r>
        <w:t>Fence:</w:t>
      </w:r>
    </w:p>
    <w:p>
      <w:pPr>
        <w:pStyle w:val="CodeBlock"/>
        <w:keepLines/>
        <w:shd w:fill="F2F2F2"/>
      </w:pPr>
      <w:r>
        <w:rPr>
          <w:rFonts w:ascii="Courier New" w:hAnsi="Courier New"/>
          <w:sz w:val="18"/>
        </w:rPr>
        <w:t>The target is the artifact’s object survival, not the person’s worth.</w:t>
      </w:r>
    </w:p>
    <w:p>
      <w:pPr>
        <w:pStyle w:val="Heading1"/>
      </w:pPr>
      <w:r>
        <w:t>14. A minimal protocol</w:t>
      </w:r>
    </w:p>
    <w:p>
      <w:pPr/>
      <w:r>
        <w:t>A practical Good Bad Reader pass has ten steps.</w:t>
      </w:r>
    </w:p>
    <w:p>
      <w:pPr>
        <w:pStyle w:val="CodeBlock"/>
        <w:keepLines/>
        <w:shd w:fill="F2F2F2"/>
      </w:pPr>
      <w:r>
        <w:rPr>
          <w:rFonts w:ascii="Courier New" w:hAnsi="Courier New"/>
          <w:sz w:val="18"/>
        </w:rPr>
        <w:t>1. Name the live object.</w:t>
        <w:br/>
        <w:t>2. Name what the text is not doing.</w:t>
        <w:br/>
        <w:t>3. Name the most likely wrong object.</w:t>
        <w:br/>
        <w:t>4. Name the parser that will produce it.</w:t>
        <w:br/>
        <w:t>5. Build a fence against that swap.</w:t>
        <w:br/>
        <w:t>6. Check whether the fence cages the object.</w:t>
        <w:br/>
        <w:t>7. Mark source-strength labels for risky edges.</w:t>
        <w:br/>
        <w:t>8. Run one hostile-reader check.</w:t>
        <w:br/>
        <w:t>9. Run one sincere-wrong-reader check.</w:t>
        <w:br/>
        <w:t>10. Add a release note: what was fenced, what was not weakened.</w:t>
      </w:r>
    </w:p>
    <w:p>
      <w:pPr/>
      <w:r>
        <w:t>The important distinction is step 6. Many institutions can build fences. Fewer can tell when the fence has become a cage.</w:t>
      </w:r>
    </w:p>
    <w:p>
      <w:pPr>
        <w:pStyle w:val="Heading1"/>
      </w:pPr>
      <w:r>
        <w:t>15. Example audit</w:t>
      </w:r>
    </w:p>
    <w:p>
      <w:pPr/>
      <w:r>
        <w:t>Target paper:</w:t>
      </w:r>
    </w:p>
    <w:p>
      <w:pPr>
        <w:pStyle w:val="CodeBlock"/>
        <w:keepLines/>
        <w:shd w:fill="F2F2F2"/>
      </w:pPr>
      <w:r>
        <w:rPr>
          <w:rFonts w:ascii="Courier New" w:hAnsi="Courier New"/>
          <w:sz w:val="18"/>
        </w:rPr>
        <w:t>The Dragon Is a Social Probe</w:t>
      </w:r>
    </w:p>
    <w:p>
      <w:pPr/>
      <w:r>
        <w:t>Good Bad Reader pass:</w:t>
      </w:r>
    </w:p>
    <w:p>
      <w:pPr>
        <w:pStyle w:val="CodeBlock"/>
        <w:keepLines/>
        <w:shd w:fill="F2F2F2"/>
      </w:pPr>
      <w:r>
        <w:rPr>
          <w:rFonts w:ascii="Courier New" w:hAnsi="Courier New"/>
          <w:sz w:val="18"/>
        </w:rPr>
        <w:t>DOG:</w:t>
        <w:br/>
        <w:t>dragon as strange-force/social-probe model</w:t>
        <w:br/>
        <w:br/>
        <w:t>ROLE:</w:t>
        <w:br/>
        <w:t>prevent panic-default while preserving risk trace</w:t>
        <w:br/>
        <w:br/>
        <w:t>FUNCTION:</w:t>
        <w:br/>
        <w:t>separate big/weird from automatic harm</w:t>
        <w:br/>
        <w:br/>
        <w:t>COAT:</w:t>
        <w:br/>
        <w:t>dragon language, mythic force, social danger vocabulary</w:t>
        <w:br/>
        <w:br/>
        <w:t>COATI_RISK:</w:t>
        <w:br/>
        <w:t>high, because dragon easily reads as threat or fantasy</w:t>
        <w:br/>
        <w:br/>
        <w:t>OBJECT_STATUS:</w:t>
        <w:br/>
        <w:t>survives if "social probe" does not become "no danger"</w:t>
        <w:br/>
        <w:br/>
        <w:t>SOURCE_STATUS:</w:t>
        <w:br/>
        <w:t>internal dragon notes and external social-threat literature must be separated</w:t>
        <w:br/>
        <w:br/>
        <w:t>BOUNDARY_STATUS:</w:t>
        <w:br/>
        <w:t>must not become clinical advice or threat dismissal</w:t>
        <w:br/>
        <w:br/>
        <w:t>SUBSTITUTION_RISK:</w:t>
        <w:br/>
        <w:t>dragon -&gt; panic</w:t>
        <w:br/>
        <w:t>dragon -&gt; monster</w:t>
        <w:br/>
        <w:t>dragon -&gt; symbolic decoration only</w:t>
        <w:br/>
        <w:t>dragon -&gt; no-risk claim</w:t>
        <w:br/>
        <w:br/>
        <w:t>NEXT_MOVE:</w:t>
        <w:br/>
        <w:t>add fence:</w:t>
        <w:br/>
        <w:t>ANY != panic does not mean no risk.</w:t>
        <w:br/>
        <w:t>It means no automatic verdict before trace.</w:t>
      </w:r>
    </w:p>
    <w:p>
      <w:pPr/>
      <w:r>
        <w:t>The pass does not make the paper timid. It makes the paper harder to steal.</w:t>
      </w:r>
    </w:p>
    <w:p>
      <w:pPr>
        <w:pStyle w:val="Heading1"/>
      </w:pPr>
      <w:r>
        <w:t>16. What this method is not</w:t>
      </w:r>
    </w:p>
    <w:p>
      <w:pPr/>
      <w:r>
        <w:t>Good Bad Reader design is not:</w:t>
      </w:r>
    </w:p>
    <w:p>
      <w:pPr>
        <w:pStyle w:val="CodeBlock"/>
        <w:keepLines/>
        <w:shd w:fill="F2F2F2"/>
      </w:pPr>
      <w:r>
        <w:rPr>
          <w:rFonts w:ascii="Courier New" w:hAnsi="Courier New"/>
          <w:sz w:val="18"/>
        </w:rPr>
        <w:t>writing for idiots</w:t>
        <w:br/>
        <w:t>appeasing bad faith</w:t>
        <w:br/>
        <w:t>respectability polishing</w:t>
        <w:br/>
        <w:t>removing sharp claims</w:t>
        <w:br/>
        <w:t>making dangerous objects polite</w:t>
        <w:br/>
        <w:t>anticipating every possible objection</w:t>
        <w:br/>
        <w:t>using disclaimers as armour</w:t>
        <w:br/>
        <w:t>turning the paper into legal mush</w:t>
      </w:r>
    </w:p>
    <w:p>
      <w:pPr/>
      <w:r>
        <w:t>It is:</w:t>
      </w:r>
    </w:p>
    <w:p>
      <w:pPr>
        <w:pStyle w:val="CodeBlock"/>
        <w:keepLines/>
        <w:shd w:fill="F2F2F2"/>
      </w:pPr>
      <w:r>
        <w:rPr>
          <w:rFonts w:ascii="Courier New" w:hAnsi="Courier New"/>
          <w:sz w:val="18"/>
        </w:rPr>
        <w:t>predicting known object swaps</w:t>
        <w:br/>
        <w:t>testing the artifact against them</w:t>
        <w:br/>
        <w:t>fencing the wrong object</w:t>
        <w:br/>
        <w:t>keeping the live object strong</w:t>
        <w:br/>
        <w:t>marking source strength</w:t>
        <w:br/>
        <w:t>leaving unknowns marked</w:t>
      </w:r>
    </w:p>
    <w:p>
      <w:pPr/>
      <w:r>
        <w:t>The method is adversarial, but its loyalty is to the object.</w:t>
      </w:r>
    </w:p>
    <w:p>
      <w:pPr>
        <w:pStyle w:val="Heading1"/>
      </w:pPr>
      <w:r>
        <w:t>17. Unknowns and limits</w:t>
      </w:r>
    </w:p>
    <w:p>
      <w:pPr/>
      <w:r>
        <w:t>This is v0.001 of the broader theory. It should not overclaim.</w:t>
      </w:r>
    </w:p>
    <w:p>
      <w:pPr>
        <w:pStyle w:val="CodeBlock"/>
        <w:keepLines/>
        <w:shd w:fill="F2F2F2"/>
      </w:pPr>
      <w:r>
        <w:rPr>
          <w:rFonts w:ascii="Courier New" w:hAnsi="Courier New"/>
          <w:sz w:val="18"/>
        </w:rPr>
        <w:t>UNKNOWN:</w:t>
        <w:br/>
        <w:t>How well Good Bad Reader passes scale across disciplines.</w:t>
        <w:br/>
        <w:br/>
        <w:t>UNKNOWN:</w:t>
        <w:br/>
        <w:t>Whether the method works best as author self-review, peer review, red team, editorial checklist, or classroom exercise.</w:t>
        <w:br/>
        <w:br/>
        <w:t>UNKNOWN:</w:t>
        <w:br/>
        <w:t>How to prevent the role from becoming another gatekeeping persona.</w:t>
        <w:br/>
        <w:br/>
        <w:t>UNKNOWN:</w:t>
        <w:br/>
        <w:t>How many fences a paper can carry before its force is damaged.</w:t>
        <w:br/>
        <w:br/>
        <w:t>UNKNOWN:</w:t>
        <w:br/>
        <w:t>Whether some fields already have equivalent methods under other names.</w:t>
        <w:br/>
        <w:br/>
        <w:t>UNKNOWN:</w:t>
        <w:br/>
        <w:t>How to handle readers whose parser is shaped by real institutional power over the author.</w:t>
      </w:r>
    </w:p>
    <w:p>
      <w:pPr/>
      <w:r>
        <w:t>The method is useful because it is partial. It does not promise safety from hostile reading. It promises a better release test for predictable object swap.</w:t>
      </w:r>
    </w:p>
    <w:p>
      <w:pPr>
        <w:pStyle w:val="Heading1"/>
      </w:pPr>
      <w:r>
        <w:t>18. Conclusion</w:t>
      </w:r>
    </w:p>
    <w:p>
      <w:pPr/>
      <w:r>
        <w:t>The Good Bad Reader is not the enemy of the paper. The Good Bad Reader is a test harness.</w:t>
      </w:r>
    </w:p>
    <w:p>
      <w:pPr/>
      <w:r>
        <w:t>They are the reader who says the wrong thing early enough that the writer can see the leak. They are the person, parser, or imagined review voice that turns value into endorsement, comparison into instruction, object distinction into permission, civic affordance into suspicious access, archive into driver, dragon into panic, or criticism into cruelty.</w:t>
      </w:r>
    </w:p>
    <w:p>
      <w:pPr/>
      <w:r>
        <w:t>A weak response is to remove the object.</w:t>
      </w:r>
    </w:p>
    <w:p>
      <w:pPr/>
      <w:r>
        <w:t>A better response is to fence the swap.</w:t>
      </w:r>
    </w:p>
    <w:p>
      <w:pPr/>
      <w:r>
        <w:t>A mature response is to fence the swap without caging the object.</w:t>
      </w:r>
    </w:p>
    <w:p>
      <w:pPr/>
      <w:r>
        <w:t>The central claim is simple:</w:t>
      </w:r>
    </w:p>
    <w:p>
      <w:pPr>
        <w:pStyle w:val="CodeBlock"/>
        <w:keepLines/>
        <w:shd w:fill="F2F2F2"/>
      </w:pPr>
      <w:r>
        <w:rPr>
          <w:rFonts w:ascii="Courier New" w:hAnsi="Courier New"/>
          <w:sz w:val="18"/>
        </w:rPr>
        <w:t>A good bad reader does not flatter the artifact.</w:t>
        <w:br/>
        <w:t>They find where it leaks object.</w:t>
      </w:r>
    </w:p>
    <w:p>
      <w:pPr/>
      <w:r>
        <w:t>That is adversarial reading as object care.</w:t>
      </w:r>
    </w:p>
    <w:p>
      <w:pPr>
        <w:pStyle w:val="Heading1"/>
      </w:pPr>
      <w:r>
        <w:t>Internal References</w:t>
      </w:r>
    </w:p>
    <w:p>
      <w:pPr/>
      <w:r>
        <w:t xml:space="preserve">[S1] </w:t>
      </w:r>
      <w:r>
        <w:rPr>
          <w:rFonts w:ascii="Courier New" w:hAnsi="Courier New" w:eastAsia="Courier New"/>
          <w:sz w:val="19"/>
        </w:rPr>
        <w:t>lumixdeee-txt.zip / The_Good_Bad_Reader_v0_003.md</w:t>
      </w:r>
      <w:r>
        <w:t>. Local method note, "Bad-reader risk as a design constraint," including the v0.003 cannabis H0 fence repair.</w:t>
      </w:r>
    </w:p>
    <w:p>
      <w:pPr/>
      <w:r>
        <w:t xml:space="preserve">[S2] </w:t>
      </w:r>
      <w:r>
        <w:rPr>
          <w:rFonts w:ascii="Courier New" w:hAnsi="Courier New" w:eastAsia="Courier New"/>
          <w:sz w:val="19"/>
        </w:rPr>
        <w:t>lmxdi/BLOB/customGPT/lyra/Object_Substitution_as_AI_Safety_Failure_Mode_v0_002.docx</w:t>
      </w:r>
      <w:r>
        <w:t>. Object substitution as workflow failure.</w:t>
      </w:r>
    </w:p>
    <w:p>
      <w:pPr/>
      <w:r>
        <w:t xml:space="preserve">[S3] </w:t>
      </w:r>
      <w:r>
        <w:rPr>
          <w:rFonts w:ascii="Courier New" w:hAnsi="Courier New" w:eastAsia="Courier New"/>
          <w:sz w:val="19"/>
        </w:rPr>
        <w:t>lmxdi/BLOB/customGPT/lyra/Put_Object_Preservation_Before_Agent_Autonomy_v0_002.docx</w:t>
      </w:r>
      <w:r>
        <w:t>. Object preservation before route or autonomy expansion.</w:t>
      </w:r>
    </w:p>
    <w:p>
      <w:pPr/>
      <w:r>
        <w:t xml:space="preserve">[S4] </w:t>
      </w:r>
      <w:r>
        <w:rPr>
          <w:rFonts w:ascii="Courier New" w:hAnsi="Courier New" w:eastAsia="Courier New"/>
          <w:sz w:val="19"/>
        </w:rPr>
        <w:t>/mnt/data/software_testing_as_civic_method_v0_001.md</w:t>
      </w:r>
      <w:r>
        <w:t>. Software testing as a civic method for naming repeatable harm and failure classes.</w:t>
      </w:r>
    </w:p>
    <w:p>
      <w:pPr/>
      <w:r>
        <w:t xml:space="preserve">[S5] </w:t>
      </w:r>
      <w:r>
        <w:rPr>
          <w:rFonts w:ascii="Courier New" w:hAnsi="Courier New" w:eastAsia="Courier New"/>
          <w:sz w:val="19"/>
        </w:rPr>
        <w:t>old_film_live_lamp_object_custody_long_horizon_ai_memory_public_v0_005.docx</w:t>
      </w:r>
      <w:r>
        <w:t>. Public edition of Old Film, Live Lamp, framing memory as authority over OLD film and live lamp.</w:t>
      </w:r>
    </w:p>
    <w:p>
      <w:pPr/>
      <w:r>
        <w:t xml:space="preserve">[S6] </w:t>
      </w:r>
      <w:r>
        <w:rPr>
          <w:rFonts w:ascii="Courier New" w:hAnsi="Courier New" w:eastAsia="Courier New"/>
          <w:sz w:val="19"/>
        </w:rPr>
        <w:t>/mnt/data/the_lamp_has_authority_v0_001.md</w:t>
      </w:r>
      <w:r>
        <w:t>. Memory authority paper separating storage, retrieval, and steering authority.</w:t>
      </w:r>
    </w:p>
    <w:p>
      <w:pPr/>
      <w:r>
        <w:t xml:space="preserve">[S7] </w:t>
      </w:r>
      <w:r>
        <w:rPr>
          <w:rFonts w:ascii="Courier New" w:hAnsi="Courier New" w:eastAsia="Courier New"/>
          <w:sz w:val="19"/>
        </w:rPr>
        <w:t>/mnt/data/the_dragon_is_a_social_probe_v0_001.md</w:t>
      </w:r>
      <w:r>
        <w:t>. Dragon as strange-force/social-probe model rather than panic default.</w:t>
      </w:r>
    </w:p>
    <w:p>
      <w:pPr/>
      <w:r>
        <w:t xml:space="preserve">[S8] </w:t>
      </w:r>
      <w:r>
        <w:rPr>
          <w:rFonts w:ascii="Courier New" w:hAnsi="Courier New" w:eastAsia="Courier New"/>
          <w:sz w:val="19"/>
        </w:rPr>
        <w:t>lumixdeee-txt.zip / Act_Is_Not_Object_v0_002.md</w:t>
      </w:r>
      <w:r>
        <w:t>. Legal and public speech distinction between object, act, relation, rule, and evidence.</w:t>
      </w:r>
    </w:p>
    <w:p>
      <w:pPr/>
      <w:r>
        <w:t xml:space="preserve">[S9] </w:t>
      </w:r>
      <w:r>
        <w:rPr>
          <w:rFonts w:ascii="Courier New" w:hAnsi="Courier New" w:eastAsia="Courier New"/>
          <w:sz w:val="19"/>
        </w:rPr>
        <w:t>lumixdeee-txt.zip / Evidence_Is_Not_Person_v0_002.md</w:t>
      </w:r>
      <w:r>
        <w:t>. Source fragment must not replace the person or whole object.</w:t>
      </w:r>
    </w:p>
    <w:p>
      <w:pPr/>
      <w:r>
        <w:t xml:space="preserve">[S10] </w:t>
      </w:r>
      <w:r>
        <w:rPr>
          <w:rFonts w:ascii="Courier New" w:hAnsi="Courier New" w:eastAsia="Courier New"/>
          <w:sz w:val="19"/>
        </w:rPr>
        <w:t>local_law_retrieval_v0_001.md</w:t>
      </w:r>
      <w:r>
        <w:t>. Local law retrieval: do not answer from the pamphlet when the user already gave the map.</w:t>
      </w:r>
    </w:p>
    <w:p>
      <w:pPr>
        <w:pStyle w:val="Heading1"/>
      </w:pPr>
      <w:r>
        <w:t>External References</w:t>
      </w:r>
    </w:p>
    <w:p>
      <w:pPr/>
      <w:r>
        <w:t>[E1] Popper, K. R. (1963). *Conjectures and Refutations: The Growth of Scientific Knowledge*. Routledge.</w:t>
      </w:r>
    </w:p>
    <w:p>
      <w:pPr/>
      <w:r>
        <w:t>[E2] Longino, H. E. (1990). *Science as Social Knowledge: Values and Objectivity in Scientific Inquiry*. Princeton University Press.</w:t>
      </w:r>
    </w:p>
    <w:p>
      <w:pPr/>
      <w:r>
        <w:t>[E3] Ceci, S. J., Clark, C. J., Jussim, L., and Williams, W. M. (2024). Adversarial collaboration: An undervalued approach in behavioral science. *American Psychologist*. Advance online publication. https://doi.org/10.1037/amp0001391</w:t>
      </w:r>
    </w:p>
    <w:p>
      <w:pPr/>
      <w:r>
        <w:t>[E4] Isch, C., Tetlock, P. E., and Clark, C. J. (2025). Reflections on adversarial collaboration from the adversaries: was it worth it? *Theory and Society*, 54, 929-946. https://doi.org/10.1007/s11186-025-09634-2</w:t>
      </w:r>
    </w:p>
    <w:p>
      <w:pPr/>
      <w:r>
        <w:t>[E5] Iser, W. (1978). *The Act of Reading: A Theory of Aesthetic Response*. Johns Hopkins University Press.</w:t>
      </w:r>
    </w:p>
    <w:p>
      <w:pPr/>
      <w:r>
        <w:t>[E6] Fish, S. (1980). *Is There a Text in This Class? The Authority of Interpretive Communities*. Harvard University Press.</w:t>
      </w:r>
    </w:p>
    <w:p>
      <w:pPr/>
      <w:r>
        <w:t>[E7] Star, S. L., and Griesemer, J. R. (1989). Institutional ecology, translations and boundary objects: amateurs and professionals in Berkeley's Museum of Vertebrate Zoology, 1907 to 1939. *Social Studies of Science*, 19(3), 387 to 420.</w:t>
      </w:r>
    </w:p>
    <w:p>
      <w:pPr/>
      <w:r>
        <w:t>[E8] Mei, A., Levy, S., and Wang, W. Y. (2023). ASSERT: Automated Safety Scenario Red Teaming for Evaluating the Robustness of Large Language Models. arXiv:2310.09624.</w:t>
      </w:r>
    </w:p>
    <w:p>
      <w:pPr/>
      <w:r>
        <w:t>[E9] Tedeschi, S., Friedrich, F., Schramowski, P., Kersting, K., Navigli, R., Nguyen, H., and Li, B. (2024). ALERT: A Comprehensive Benchmark for Assessing Large Language Models' Safety through Red Teaming. arXiv:2404.08676.</w:t>
      </w:r>
    </w:p>
    <w:p>
      <w:pPr/>
      <w:r>
        <w:t>[E10] Alotaibi, A., Mughus, R., and Ahmed, M. (2026). A Red Teaming Framework for Large Language Models: A Case Study on Faithfulness Evaluation. arXiv:2606.25476.</w:t>
      </w:r>
    </w:p>
    <w:p>
      <w:pPr>
        <w:pStyle w:val="Heading1"/>
      </w:pPr>
      <w:r>
        <w:t>Appendix A: Good Bad Reader checklist</w:t>
      </w:r>
    </w:p>
    <w:p>
      <w:pPr>
        <w:pStyle w:val="CodeBlock"/>
        <w:keepLines/>
        <w:shd w:fill="F2F2F2"/>
      </w:pPr>
      <w:r>
        <w:rPr>
          <w:rFonts w:ascii="Courier New" w:hAnsi="Courier New"/>
          <w:sz w:val="18"/>
        </w:rPr>
        <w:t>LIVE OBJECT:</w:t>
        <w:br/>
        <w:t>What must survive?</w:t>
        <w:br/>
        <w:br/>
        <w:t>LIKELY WRONG OBJECT:</w:t>
        <w:br/>
        <w:t>What will the predictable reader swap in?</w:t>
        <w:br/>
        <w:br/>
        <w:t>PARSER:</w:t>
        <w:br/>
        <w:t>What institutional or social parser produces the swap?</w:t>
        <w:br/>
        <w:br/>
        <w:t>FENCE:</w:t>
        <w:br/>
        <w:t>What sentence, structure, or source label blocks the swap?</w:t>
        <w:br/>
        <w:br/>
        <w:t>CAGE CHECK:</w:t>
        <w:br/>
        <w:t>Does the fence make the object kneel?</w:t>
        <w:br/>
        <w:br/>
        <w:t>SOURCE STRENGTH:</w:t>
        <w:br/>
        <w:t>Stated, text-supported, path-inferred, user-context, or unknown?</w:t>
        <w:br/>
        <w:br/>
        <w:t>RELEASE NOTE:</w:t>
        <w:br/>
        <w:t>What was protected without being weakened?</w:t>
      </w:r>
    </w:p>
    <w:p>
      <w:pPr>
        <w:pStyle w:val="Heading1"/>
      </w:pPr>
      <w:r>
        <w:t>Appendix B: One-page release form</w:t>
      </w:r>
    </w:p>
    <w:p>
      <w:pPr>
        <w:pStyle w:val="CodeBlock"/>
        <w:keepLines/>
        <w:shd w:fill="F2F2F2"/>
      </w:pPr>
      <w:r>
        <w:rPr>
          <w:rFonts w:ascii="Courier New" w:hAnsi="Courier New"/>
          <w:sz w:val="18"/>
        </w:rPr>
        <w:t>Paper title:</w:t>
        <w:br/>
        <w:t>Version:</w:t>
        <w:br/>
        <w:t>Live object:</w:t>
        <w:br/>
        <w:t>Main non-goal:</w:t>
        <w:br/>
        <w:t>Most likely wrong object:</w:t>
        <w:br/>
        <w:t>Good Bad Reader parser:</w:t>
        <w:br/>
        <w:t>Fence added:</w:t>
        <w:br/>
        <w:t>Fence risk:</w:t>
        <w:br/>
        <w:t>Source-strength labels added:</w:t>
        <w:br/>
        <w:t>Unknowns marked:</w:t>
        <w:br/>
        <w:t>Object still strong? yes / no / unsure</w:t>
        <w:br/>
        <w:t>Next move: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The Good Bad Reader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right="144"/>
    </w:pPr>
    <w:rPr>
      <w:rFonts w:ascii="Courier New" w:hAnsi="Courier New" w:eastAsia="Courier New"/>
      <w:sz w:val="18"/>
    </w:rPr>
  </w:style>
  <w:style w:type="paragraph" w:customStyle="1" w:styleId="BodyItalic">
    <w:name w:val="Body Italic"/>
    <w:basedOn w:val="Normal"/>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Good Bad Reader: Adversarial Reading as Object Care</dc:title>
  <dc:subject>Working paper v0.001</dc:subject>
  <dc:creator>lumixdeee with an internal workflow assistant</dc:creator>
  <cp:keywords/>
  <dc:description>generated by python-docx</dc:description>
  <cp:lastModifiedBy/>
  <cp:revision>1</cp:revision>
  <dcterms:created xsi:type="dcterms:W3CDTF">2013-12-23T23:15:00Z</dcterms:created>
  <dcterms:modified xsi:type="dcterms:W3CDTF">2013-12-23T23:15:00Z</dcterms:modified>
  <cp:category/>
</cp:coreProperties>
</file>