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ptos Display" w:hAnsi="Aptos Display"/>
          <w:b/>
          <w:sz w:val="40"/>
        </w:rPr>
        <w:t>Gobekli Tepe and the First-Wealth Problem</w:t>
      </w:r>
    </w:p>
    <w:p>
      <w:pPr>
        <w:pStyle w:val="Normal"/>
        <w:jc w:val="center"/>
        <w:rPr/>
      </w:pPr>
      <w:r>
        <w:rPr>
          <w:rFonts w:ascii="Aptos Display" w:hAnsi="Aptos Display"/>
          <w:i/>
          <w:sz w:val="26"/>
        </w:rPr>
        <w:t>The Raider Trap Layer as Threat Management inside a Ceremonial System</w:t>
      </w:r>
    </w:p>
    <w:p>
      <w:pPr>
        <w:pStyle w:val="Normal"/>
        <w:jc w:val="center"/>
        <w:rPr/>
      </w:pPr>
      <w:r>
        <w:rPr>
          <w:sz w:val="19"/>
        </w:rPr>
        <w:t>Working paper v0.6 | 17 May 2026</w:t>
      </w:r>
    </w:p>
    <w:p>
      <w:pPr>
        <w:pStyle w:val="Heading1"/>
        <w:rPr/>
      </w:pPr>
      <w:r>
        <w:rPr/>
        <w:t>Abstract</w:t>
      </w:r>
    </w:p>
    <w:p>
      <w:pPr>
        <w:pStyle w:val="Normal"/>
        <w:spacing w:lineRule="auto" w:line="252" w:before="0" w:after="120"/>
        <w:rPr/>
      </w:pPr>
      <w:r>
        <w:rPr/>
        <w:t>This paper does not argue that Gobekli Tepe was mainly a fort, battlefield, or military installation. It proposes a secondary functional layer within the established ceremonial gathering model. During the early concentration of food, labour, symbolic capital, body memory, and regional visibility, communal ritual may also have managed threat. Version 0.6 adds two linked pressures: the energy hump of early food production and the calcium crisis of stored winter diets. Early food production may have required communities to maintain older hunting and gathering systems while investing in fixed cultivation, processing, storage, and defense. This unstable middle phase created stored value before mature farming had fully reduced risk. At the same time, preserved winter diets could supply calories while leaving calcium uncertain for children, pregnant or nursing women, injured adults, and older workers. Bone therefore mattered not only as tool stock, marrow, ritual matter, or scavenger attractor, but as delayed mineral wealth. The Raider Trap Layer is framed as a testable behavioral ecology enhancer: a way to ask how ritual, food, death, bone, T-pillars, access control, warning memory, and defensive affordances may have worked together without replacing the main ritual-social interpretation.</w:t>
      </w:r>
    </w:p>
    <w:p>
      <w:pPr>
        <w:pStyle w:val="Heading1"/>
        <w:rPr/>
      </w:pPr>
      <w:r>
        <w:rPr/>
        <w:t>Claim status and rank discipline</w:t>
      </w:r>
    </w:p>
    <w:p>
      <w:pPr>
        <w:pStyle w:val="Normal"/>
        <w:spacing w:lineRule="auto" w:line="252" w:before="0" w:after="120"/>
        <w:rPr/>
      </w:pPr>
      <w:r>
        <w:rPr/>
        <w:t>The argument is ranked deliberately. The paper should not be read as a replacement for the ceremonial gathering model.</w:t>
      </w:r>
    </w:p>
    <w:tbl>
      <w:tblPr>
        <w:tblStyle w:val="TableGrid"/>
        <w:tblW w:w="101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c>
          <w:tcPr>
            <w:tcW w:w="5083"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This paper does not claim</w:t>
            </w:r>
          </w:p>
        </w:tc>
        <w:tc>
          <w:tcPr>
            <w:tcW w:w="5082"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This paper does claim</w:t>
            </w:r>
          </w:p>
        </w:tc>
      </w:tr>
      <w:tr>
        <w:trPr/>
        <w:tc>
          <w:tcPr>
            <w:tcW w:w="50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Gobekli Tepe was mainly a fort.</w:t>
            </w:r>
          </w:p>
        </w:tc>
        <w:tc>
          <w:tcPr>
            <w:tcW w:w="50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The ceremonial model may include threat-management value.</w:t>
            </w:r>
          </w:p>
        </w:tc>
      </w:tr>
      <w:tr>
        <w:trPr/>
        <w:tc>
          <w:tcPr>
            <w:tcW w:w="50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Gobekli Tepe was a battlefield.</w:t>
            </w:r>
          </w:p>
        </w:tc>
        <w:tc>
          <w:tcPr>
            <w:tcW w:w="50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Ritual and defense may not yet be separable categories at this stage.</w:t>
            </w:r>
          </w:p>
        </w:tc>
      </w:tr>
      <w:tr>
        <w:trPr/>
        <w:tc>
          <w:tcPr>
            <w:tcW w:w="50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Raid or siege evidence has been found at the core site.</w:t>
            </w:r>
          </w:p>
        </w:tc>
        <w:tc>
          <w:tcPr>
            <w:tcW w:w="50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The expected trace is mixed social ecology, not mass trauma.</w:t>
            </w:r>
          </w:p>
        </w:tc>
      </w:tr>
      <w:tr>
        <w:trPr/>
        <w:tc>
          <w:tcPr>
            <w:tcW w:w="50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The ceremonial model is wrong.</w:t>
            </w:r>
          </w:p>
        </w:tc>
        <w:tc>
          <w:tcPr>
            <w:tcW w:w="50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Early food production had a labour and risk hump before stable surplus.</w:t>
            </w:r>
          </w:p>
        </w:tc>
      </w:tr>
      <w:tr>
        <w:trPr/>
        <w:tc>
          <w:tcPr>
            <w:tcW w:w="50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Routine conspecific consumption is demonstrated.</w:t>
            </w:r>
          </w:p>
        </w:tc>
        <w:tc>
          <w:tcPr>
            <w:tcW w:w="50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Stored winter diets could make mineral stores, especially bone, valuable.</w:t>
            </w:r>
          </w:p>
        </w:tc>
      </w:tr>
      <w:tr>
        <w:trPr/>
        <w:tc>
          <w:tcPr>
            <w:tcW w:w="50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Bone-mineral use or calcium crisis is proven at the site.</w:t>
            </w:r>
          </w:p>
        </w:tc>
        <w:tc>
          <w:tcPr>
            <w:tcW w:w="50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Some architectural affordances can be tested through access, height, repair, rubble, timber, and visitor-pattern studies.</w:t>
            </w:r>
          </w:p>
        </w:tc>
      </w:tr>
      <w:tr>
        <w:trPr/>
        <w:tc>
          <w:tcPr>
            <w:tcW w:w="50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The energy hump alone explains monumentality.</w:t>
            </w:r>
          </w:p>
        </w:tc>
        <w:tc>
          <w:tcPr>
            <w:tcW w:w="50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T-pillars may be convergence objects: persons, structure, authority, memory, and possible tactical grammar.</w:t>
            </w:r>
          </w:p>
        </w:tc>
      </w:tr>
    </w:tbl>
    <w:p>
      <w:pPr>
        <w:pStyle w:val="Normal"/>
        <w:rPr/>
      </w:pPr>
      <w:r>
        <w:rPr/>
      </w:r>
    </w:p>
    <w:p>
      <w:pPr>
        <w:pStyle w:val="Heading1"/>
        <w:rPr/>
      </w:pPr>
      <w:r>
        <w:rPr/>
        <w:t>1. Site frame and baseline</w:t>
      </w:r>
    </w:p>
    <w:p>
      <w:pPr>
        <w:pStyle w:val="Normal"/>
        <w:spacing w:lineRule="auto" w:line="252" w:before="0" w:after="120"/>
        <w:rPr/>
      </w:pPr>
      <w:r>
        <w:rPr/>
        <w:t>Gobekli Tepe sits in the Germus mountains of south-eastern Anatolia. UNESCO dates its monumental round-oval and rectangular megalithic buildings to the Pre-Pottery Neolithic, roughly 9600-8200 BCE. The site includes distinctive T-shaped limestone pillars, wild animal imagery, and architecture usually read in ritual, communal, and likely funerary terms. [1]</w:t>
      </w:r>
    </w:p>
    <w:p>
      <w:pPr>
        <w:pStyle w:val="Normal"/>
        <w:spacing w:lineRule="auto" w:line="252" w:before="0" w:after="120"/>
        <w:rPr/>
      </w:pPr>
      <w:r>
        <w:rPr/>
        <w:t>Recent work has softened the older image of an isolated sanctuary. Food processing, settlement-like traces, architectural phasing, water and slope processes, roof or split-level possibilities, and regional Tas Tepeler parallels make the site better understood as part of a wider ritual-social landscape rather than as a single-purpose monument. [2], [5], [6], [13]</w:t>
      </w:r>
    </w:p>
    <w:p>
      <w:pPr>
        <w:pStyle w:val="Normal"/>
        <w:spacing w:lineRule="auto" w:line="252" w:before="0" w:after="120"/>
        <w:rPr/>
      </w:pPr>
      <w:r>
        <w:rPr/>
        <w:t>The interpretive issue is not whether ritual existed. It did. The issue is whether ritual, architecture, food, death practice, bone handling, mineral storage, visitor gathering, and positional design also helped solve a new survival problem created by fixed wealth.</w:t>
      </w:r>
    </w:p>
    <w:p>
      <w:pPr>
        <w:pStyle w:val="Heading1"/>
        <w:rPr/>
      </w:pPr>
      <w:r>
        <w:rPr/>
        <w:t>2. The energy hump of first food production</w:t>
      </w:r>
    </w:p>
    <w:p>
      <w:pPr>
        <w:pStyle w:val="Normal"/>
        <w:spacing w:lineRule="auto" w:line="252" w:before="0" w:after="120"/>
        <w:rPr/>
      </w:pPr>
      <w:r>
        <w:rPr/>
        <w:t>Early farming should not be imagined as an immediate efficiency gain. Before reliable domesticated crops, stable storage, processing routines, defended stores, seasonal labour discipline, and intergenerational practice were in place, cultivation may have increased work and risk rather than reducing it. The new system consumed labour before it reliably returned surplus.</w:t>
      </w:r>
    </w:p>
    <w:p>
      <w:pPr>
        <w:pStyle w:val="Normal"/>
        <w:spacing w:lineRule="auto" w:line="252" w:before="0" w:after="120"/>
        <w:rPr/>
      </w:pPr>
      <w:r>
        <w:rPr/>
        <w:t>Bruce Smith described a large middle ground between hunting, fishing, foraging, and full agriculture. His low-level food production model avoids treating the shift as a thin boundary between two finished lifeways. Smith also summarizes plant-food systems as moving from wild procurement through small-scale cultivation and larger land preparation toward crop production with greater human energy input per unit area. [14]</w:t>
      </w:r>
    </w:p>
    <w:p>
      <w:pPr>
        <w:pStyle w:val="Normal"/>
        <w:spacing w:lineRule="auto" w:line="252" w:before="0" w:after="120"/>
        <w:rPr/>
      </w:pPr>
      <w:r>
        <w:rPr/>
        <w:t>Zeder likewise frames Near Eastern agricultural origins as broad-based human efforts to modify local environments and biotic communities, not a single sudden invention. [15] The first farm was therefore not a switch. It was a risky stack of partial commitments.</w:t>
      </w:r>
    </w:p>
    <w:p>
      <w:pPr>
        <w:pStyle w:val="Normal"/>
        <w:spacing w:lineRule="auto" w:line="252" w:before="0" w:after="120"/>
        <w:rPr/>
      </w:pPr>
      <w:r>
        <w:rPr/>
        <w:t>The first-farm group had to run two systems at once. Hunting, gathering, wild cereals, nuts, bone processing, seasonal movement knowledge, water memory, animal tracking, and fallback exchange still mattered. At the same time the group invested in fixed plant stands, grinding and pounding equipment, stores, buildings, ritual gathering, access control, and defence. This is the energy hump: the period when food production draws labour away from older systems before it becomes stable enough to replace them.</w:t>
      </w:r>
    </w:p>
    <w:p>
      <w:pPr>
        <w:pStyle w:val="Normal"/>
        <w:spacing w:lineRule="auto" w:line="252" w:before="0" w:after="120"/>
        <w:rPr/>
      </w:pPr>
      <w:r>
        <w:rPr/>
        <w:t>This hump makes the Raider Trap Layer more plausible. The community is too fixed to vanish easily, not yet productive enough to abandon foraging, rich enough to tempt hungry outsiders, and fragile enough that one bad winter or failed raid could matter for generations.</w:t>
      </w:r>
    </w:p>
    <w:p>
      <w:pPr>
        <w:pStyle w:val="Heading1"/>
        <w:rPr/>
      </w:pPr>
      <w:r>
        <w:rPr/>
        <w:t>3. The first-wealth problem</w:t>
      </w:r>
    </w:p>
    <w:p>
      <w:pPr>
        <w:pStyle w:val="Normal"/>
        <w:spacing w:lineRule="auto" w:line="252" w:before="0" w:after="120"/>
        <w:rPr/>
      </w:pPr>
      <w:r>
        <w:rPr/>
        <w:t>The farming hinge created a new target. Before food concentration, calories were distributed across game, seasonal plants, nuts, bone stores, and many remembered places. Once cereals, nuts, grinding tools, vessels, hides, bones, ritual authority, and people gather in one place, value becomes addressable.</w:t>
      </w:r>
    </w:p>
    <w:p>
      <w:pPr>
        <w:pStyle w:val="Normal"/>
        <w:spacing w:lineRule="auto" w:line="252" w:before="0" w:after="120"/>
        <w:rPr/>
      </w:pPr>
      <w:r>
        <w:rPr/>
        <w:t>The first-wealth problem is the survival problem created when value stops moving. A mobile group can move away from danger. A site with stores, buildings, labour investment, stone persons, graves, skull practice, mineral resources, and regional fame cannot simply dissolve into the hills without losing the system that made it valuable.</w:t>
      </w:r>
    </w:p>
    <w:p>
      <w:pPr>
        <w:pStyle w:val="Normal"/>
        <w:spacing w:lineRule="auto" w:line="252" w:before="0" w:after="120"/>
        <w:rPr/>
      </w:pPr>
      <w:r>
        <w:rPr/>
        <w:t>A wall alone is not enough if waiting is the danger. Passive fortification can teach enemies to sit, watch, block access, return at harvest, or starve the resident group. The deeper task is to shape outsider behaviour before siege becomes the best option.</w:t>
      </w:r>
    </w:p>
    <w:p>
      <w:pPr>
        <w:pStyle w:val="Heading1"/>
        <w:rPr/>
      </w:pPr>
      <w:r>
        <w:rPr/>
        <w:t>4. The desperate-winter trigger</w:t>
      </w:r>
    </w:p>
    <w:p>
      <w:pPr>
        <w:pStyle w:val="Normal"/>
        <w:spacing w:lineRule="auto" w:line="252" w:before="0" w:after="120"/>
        <w:rPr/>
      </w:pPr>
      <w:r>
        <w:rPr/>
        <w:t>The raider problem need not imply chronic war. A single bad winter, failed hunt, local drought, disease event, failed exchange relation, or lost herd of wild game could turn a neighbouring group from visitor or trading partner into a desperate attacker.</w:t>
      </w:r>
    </w:p>
    <w:p>
      <w:pPr>
        <w:pStyle w:val="Normal"/>
        <w:spacing w:lineRule="auto" w:line="252" w:before="0" w:after="120"/>
        <w:rPr/>
      </w:pPr>
      <w:r>
        <w:rPr/>
        <w:t>This is an episodic risk model. The danger may be rare but existential. One successful starvation raid could end a small fixed food community. A site built to prevent such an event may leave little battle evidence if prevention works, bodies are moved, scavengers intervene, or the event becomes memory rather than a deposit.</w:t>
      </w:r>
    </w:p>
    <w:p>
      <w:pPr>
        <w:pStyle w:val="Normal"/>
        <w:spacing w:lineRule="auto" w:line="252" w:before="0" w:after="120"/>
        <w:rPr/>
      </w:pPr>
      <w:r>
        <w:rPr/>
        <w:t>The expected pattern is therefore prevention and conversion: hungry outsiders are given roles before hunger leaves only violence. Guest, witness, supplicant, rival, exchange partner, affine, or warned enemy are all safer roles than patient besieger.</w:t>
      </w:r>
    </w:p>
    <w:p>
      <w:pPr>
        <w:pStyle w:val="Heading1"/>
        <w:rPr/>
      </w:pPr>
      <w:r>
        <w:rPr/>
        <w:t>5. Mechanism: convert outsiders before siege forms</w:t>
      </w:r>
    </w:p>
    <w:p>
      <w:pPr>
        <w:pStyle w:val="Normal"/>
        <w:spacing w:lineRule="auto" w:line="252" w:before="0" w:after="120"/>
        <w:rPr/>
      </w:pPr>
      <w:r>
        <w:rPr/>
        <w:t>In this frame, the ritual system does not sit apart from survival. It is the operating layer by which food, dead, kin, animals, fear, debt, mineral value, and reputation are arranged before violence becomes the only remaining grammar.</w:t>
      </w:r>
    </w:p>
    <w:p>
      <w:pPr>
        <w:pStyle w:val="ListBullet"/>
        <w:numPr>
          <w:ilvl w:val="0"/>
          <w:numId w:val="1"/>
        </w:numPr>
        <w:spacing w:before="0" w:after="40"/>
        <w:contextualSpacing/>
        <w:rPr/>
      </w:pPr>
      <w:r>
        <w:rPr/>
        <w:t>Visitor becomes guest through food, rhythm, obligation, and witness.</w:t>
      </w:r>
    </w:p>
    <w:p>
      <w:pPr>
        <w:pStyle w:val="ListBullet"/>
        <w:numPr>
          <w:ilvl w:val="0"/>
          <w:numId w:val="1"/>
        </w:numPr>
        <w:spacing w:before="0" w:after="40"/>
        <w:contextualSpacing/>
        <w:rPr/>
      </w:pPr>
      <w:r>
        <w:rPr/>
        <w:t>Rival becomes participant through contest, prestige, story, or exchange.</w:t>
      </w:r>
    </w:p>
    <w:p>
      <w:pPr>
        <w:pStyle w:val="ListBullet"/>
        <w:numPr>
          <w:ilvl w:val="0"/>
          <w:numId w:val="1"/>
        </w:numPr>
        <w:spacing w:before="0" w:after="40"/>
        <w:contextualSpacing/>
        <w:rPr/>
      </w:pPr>
      <w:r>
        <w:rPr/>
        <w:t>Hungry outsider becomes supplicant before becoming attacker.</w:t>
      </w:r>
    </w:p>
    <w:p>
      <w:pPr>
        <w:pStyle w:val="ListBullet"/>
        <w:numPr>
          <w:ilvl w:val="0"/>
          <w:numId w:val="1"/>
        </w:numPr>
        <w:spacing w:before="0" w:after="40"/>
        <w:contextualSpacing/>
        <w:rPr/>
      </w:pPr>
      <w:r>
        <w:rPr/>
        <w:t>Potential attacker becomes warned enemy through imagery, memory, and controlled approach.</w:t>
      </w:r>
    </w:p>
    <w:p>
      <w:pPr>
        <w:pStyle w:val="ListBullet"/>
        <w:numPr>
          <w:ilvl w:val="0"/>
          <w:numId w:val="1"/>
        </w:numPr>
        <w:spacing w:before="0" w:after="40"/>
        <w:contextualSpacing/>
        <w:rPr/>
      </w:pPr>
      <w:r>
        <w:rPr/>
        <w:t>Short-burst raider is forced into known routes instead of open-ended siege.</w:t>
      </w:r>
    </w:p>
    <w:p>
      <w:pPr>
        <w:pStyle w:val="Normal"/>
        <w:spacing w:lineRule="auto" w:line="252" w:before="0" w:after="120"/>
        <w:rPr/>
      </w:pPr>
      <w:r>
        <w:rPr/>
        <w:t>The social system acts before the weapon system. That is the key behavioural ecology claim.</w:t>
      </w:r>
    </w:p>
    <w:p>
      <w:pPr>
        <w:pStyle w:val="Heading1"/>
        <w:rPr/>
      </w:pPr>
      <w:r>
        <w:rPr/>
        <w:t>6. Asymmetric learning and warning memory</w:t>
      </w:r>
    </w:p>
    <w:p>
      <w:pPr>
        <w:pStyle w:val="Normal"/>
        <w:spacing w:lineRule="auto" w:line="252" w:before="0" w:after="120"/>
        <w:rPr/>
      </w:pPr>
      <w:r>
        <w:rPr/>
        <w:t>The settled group has institutional memory. A small desperate raiding group often does not. If attackers perish, scatter, or starve after failure, outgroup tactical learning can slow or reset. The ridge group, by contrast, can repair, retell, adjust, and pass lessons onward.</w:t>
      </w:r>
    </w:p>
    <w:p>
      <w:pPr>
        <w:pStyle w:val="Normal"/>
        <w:spacing w:lineRule="auto" w:line="252" w:before="0" w:after="120"/>
        <w:rPr/>
      </w:pPr>
      <w:r>
        <w:rPr/>
        <w:t>This creates a ratchet. One side accumulates lessons across generations. The other side may arrive as sporadic crisis packets with partial knowledge.</w:t>
      </w:r>
    </w:p>
    <w:p>
      <w:pPr>
        <w:pStyle w:val="Normal"/>
        <w:spacing w:lineRule="auto" w:line="252" w:before="0" w:after="120"/>
        <w:rPr/>
      </w:pPr>
      <w:r>
        <w:rPr/>
        <w:t>The tactic need not be used often. One spectacular failed raid could create a warning tradition among neighbouring groups. Once survivors or observers carry the account outward, and once the resident group ritually repeats or amplifies the event, the tactic shifts from physical action to reputational deterrence. The stone need only fall once for the story to fall many times.</w:t>
      </w:r>
    </w:p>
    <w:p>
      <w:pPr>
        <w:pStyle w:val="Heading1"/>
        <w:rPr/>
      </w:pPr>
      <w:r>
        <w:rPr/>
        <w:t>7. T-pillars as convergence objects</w:t>
      </w:r>
    </w:p>
    <w:p>
      <w:pPr>
        <w:pStyle w:val="Normal"/>
        <w:spacing w:lineRule="auto" w:line="252" w:before="0" w:after="120"/>
        <w:rPr/>
      </w:pPr>
      <w:r>
        <w:rPr/>
        <w:t>The T-pillars should not be treated as ordinary stacked stones. They are carved limestone monoliths shaped into anthropomorphic pillar-statues. DAI summaries emphasize arms, hands, stola-like garments, belts, and larger-than-life human-like features on some pillars. [10]</w:t>
      </w:r>
    </w:p>
    <w:p>
      <w:pPr>
        <w:pStyle w:val="Normal"/>
        <w:spacing w:lineRule="auto" w:line="252" w:before="0" w:after="120"/>
        <w:rPr/>
      </w:pPr>
      <w:r>
        <w:rPr/>
        <w:t>The first-wealth problem may explain why such durable stone persons mattered. A mobile group can carry authority in living elders, hunters, songs, kin, and portable objects. A fixed high-value site needs authority that remains when people sleep, hunt, leave, die, scatter, or gather elsewhere.</w:t>
      </w:r>
    </w:p>
    <w:p>
      <w:pPr>
        <w:pStyle w:val="Normal"/>
        <w:spacing w:lineRule="auto" w:line="252" w:before="0" w:after="120"/>
        <w:rPr/>
      </w:pPr>
      <w:r>
        <w:rPr/>
        <w:t>The evolutionary pressure was not simply ritual or defense. It was a new social ecology in which food, labour, dead, fame, minerals, and outsiders gathered at an address. The T-form may have been selected because it was both body and structure: a person that could hold up a roof, a symbol that could shape movement, and an ancestor that could also participate in threat management.</w:t>
      </w:r>
    </w:p>
    <w:p>
      <w:pPr>
        <w:pStyle w:val="Heading1"/>
        <w:rPr/>
      </w:pPr>
      <w:r>
        <w:rPr/>
        <w:t>8. Defensive affordances inside ritual architecture</w:t>
      </w:r>
    </w:p>
    <w:p>
      <w:pPr>
        <w:pStyle w:val="Normal"/>
        <w:spacing w:lineRule="auto" w:line="252" w:before="0" w:after="120"/>
        <w:rPr/>
      </w:pPr>
      <w:r>
        <w:rPr/>
        <w:t>These mechanisms are not claimed as demonstrated features. They are proposed as testable uses of architecture inside a broader ritual-social threat-management system.</w:t>
      </w:r>
    </w:p>
    <w:p>
      <w:pPr>
        <w:pStyle w:val="Heading2"/>
        <w:rPr/>
      </w:pPr>
      <w:r>
        <w:rPr/>
        <w:t>8.1 Delay-and-drop sequence</w:t>
      </w:r>
    </w:p>
    <w:p>
      <w:pPr>
        <w:pStyle w:val="Normal"/>
        <w:spacing w:lineRule="auto" w:line="252" w:before="0" w:after="120"/>
        <w:rPr/>
      </w:pPr>
      <w:r>
        <w:rPr/>
        <w:t>The strongest tactical proposal is not a fort wall but a delay-and-drop sequence. A food store or pantry-like threshold could attract raiders into a narrow working position, where the lead attackers become bunched and attention-locked on a difficult barrier.</w:t>
      </w:r>
    </w:p>
    <w:p>
      <w:pPr>
        <w:pStyle w:val="Normal"/>
        <w:spacing w:lineRule="auto" w:line="252" w:before="0" w:after="120"/>
        <w:rPr/>
      </w:pPr>
      <w:r>
        <w:rPr/>
        <w:t>Timber platforms, roof edges, wall tops, or side screens could allow small defender pairs to release prepared stone loads with limited exposure. Defenders could push with feet or levers, then follow with stones, clubs, axes, dogs, or rerouting tactics while retaining positional advantage.</w:t>
      </w:r>
    </w:p>
    <w:p>
      <w:pPr>
        <w:pStyle w:val="Normal"/>
        <w:spacing w:lineRule="auto" w:line="252" w:before="0" w:after="120"/>
        <w:rPr/>
      </w:pPr>
      <w:r>
        <w:rPr/>
        <w:t>This mechanism turns queued hunger into geometry. The pantry door is a tempo device. The delay creates bunching. Bunching creates the stone-fall opportunity.</w:t>
      </w:r>
    </w:p>
    <w:p>
      <w:pPr>
        <w:pStyle w:val="Heading2"/>
        <w:rPr/>
      </w:pPr>
      <w:r>
        <w:rPr/>
        <w:t>8.2 Released stone from height</w:t>
      </w:r>
    </w:p>
    <w:p>
      <w:pPr>
        <w:pStyle w:val="Normal"/>
        <w:spacing w:lineRule="auto" w:line="252" w:before="0" w:after="120"/>
        <w:rPr/>
      </w:pPr>
      <w:r>
        <w:rPr/>
        <w:t>Raised platforms, wall tops, roof edges, terraces, or controlled higher ground could allow defenders to release limestone slabs, rubble, or timber-held stones into constrained approach zones. This is stronger than the roof-trap variant because it requires only height, prepared stone, and access control.</w:t>
      </w:r>
    </w:p>
    <w:p>
      <w:pPr>
        <w:pStyle w:val="Normal"/>
        <w:spacing w:lineRule="auto" w:line="252" w:before="0" w:after="120"/>
        <w:rPr/>
      </w:pPr>
      <w:r>
        <w:rPr/>
        <w:t>The model should not say that T-pillar tops were pushed over. The safer reconstruction is loose slabs, rubble loads, roof-edge stones, or prepared limestone blocks. The T-pillars may help define space, support timber, or create visitor grammar, but they are not treated as disposable ammunition.</w:t>
      </w:r>
    </w:p>
    <w:p>
      <w:pPr>
        <w:pStyle w:val="Normal"/>
        <w:spacing w:lineRule="auto" w:line="252" w:before="0" w:after="120"/>
        <w:rPr/>
      </w:pPr>
      <w:r>
        <w:rPr/>
        <w:t>Possible traces include impact zones, crushed bone in approach contexts, unusual slab distributions near thresholds, repair around access points, blocked or reworked openings, or projectile and rubble patterning outside the core.</w:t>
      </w:r>
    </w:p>
    <w:p>
      <w:pPr>
        <w:pStyle w:val="Heading2"/>
        <w:rPr/>
      </w:pPr>
      <w:r>
        <w:rPr/>
        <w:t>8.3 Sacrificial roof or upper-surface trap</w:t>
      </w:r>
    </w:p>
    <w:p>
      <w:pPr>
        <w:pStyle w:val="Normal"/>
        <w:spacing w:lineRule="auto" w:line="252" w:before="0" w:after="120"/>
        <w:rPr/>
      </w:pPr>
      <w:r>
        <w:rPr/>
        <w:t>This is more speculative but behaviourally strong. If some buildings carried timber-supported upper surfaces, a weak or sacrificial section could interrupt attackers drawn onto it, drop or jam the first few, block the rest, and force survivors into a known reroute.</w:t>
      </w:r>
    </w:p>
    <w:p>
      <w:pPr>
        <w:pStyle w:val="Normal"/>
        <w:spacing w:lineRule="auto" w:line="252" w:before="0" w:after="120"/>
        <w:rPr/>
      </w:pPr>
      <w:r>
        <w:rPr/>
        <w:t>This mechanism is hard to distinguish from ordinary collapse, earthquake damage, decay, or later fill movement. For that reason it should remain a secondary affordance until timber, access, damage, and repair evidence support it.</w:t>
      </w:r>
    </w:p>
    <w:p>
      <w:pPr>
        <w:pStyle w:val="Heading1"/>
        <w:rPr/>
      </w:pPr>
      <w:r>
        <w:rPr/>
        <w:t>9. Mortuary ecology, trace loss, and crisis reversibility</w:t>
      </w:r>
    </w:p>
    <w:p>
      <w:pPr>
        <w:pStyle w:val="Normal"/>
        <w:spacing w:lineRule="auto" w:line="252" w:before="0" w:after="120"/>
        <w:rPr/>
      </w:pPr>
      <w:r>
        <w:rPr/>
        <w:t>The absence of a mass-death layer does not defeat the model. The model predicts prevention, dispersal, recovery, scavenging, ritual handling, and later fill disturbance more than battlefield deposits.</w:t>
      </w:r>
    </w:p>
    <w:p>
      <w:pPr>
        <w:pStyle w:val="Normal"/>
        <w:spacing w:lineRule="auto" w:line="252" w:before="0" w:after="120"/>
        <w:rPr/>
      </w:pPr>
      <w:r>
        <w:rPr/>
        <w:t>Human remains at Gobekli Tepe are fragmentary. Published work reports modified skull fragments and hundreds of scattered human bone fragments from fills and related contexts, while intact graves are absent or extremely limited in the core site record. [3], [4]</w:t>
      </w:r>
    </w:p>
    <w:p>
      <w:pPr>
        <w:pStyle w:val="Normal"/>
        <w:spacing w:lineRule="auto" w:line="252" w:before="0" w:after="120"/>
        <w:rPr/>
      </w:pPr>
      <w:r>
        <w:rPr/>
        <w:t>This paper uses the term conspecific consumption. It does not infer routine conspecific consumption. It treats rare emergency retrieval, scavenger interaction, predator baiting, secondary handling, and taboo-protected storage as possible crisis roles within a seasonal scarcity ecology.</w:t>
      </w:r>
    </w:p>
    <w:p>
      <w:pPr>
        <w:pStyle w:val="Normal"/>
        <w:spacing w:lineRule="auto" w:line="252" w:before="0" w:after="120"/>
        <w:rPr/>
      </w:pPr>
      <w:r>
        <w:rPr/>
        <w:t>A grave may be a sealed social object rather than a one-way mortuary act. In severe scarcity, a remembered burial place might preserve tools, ornaments, skins, body material, scent, or food traces under taboo. It could also attract scavengers or large predators. This is proposed as survival logic, not demonstrated Gobekli practice.</w:t>
      </w:r>
    </w:p>
    <w:p>
      <w:pPr>
        <w:pStyle w:val="Normal"/>
        <w:spacing w:lineRule="auto" w:line="252" w:before="0" w:after="120"/>
        <w:rPr/>
      </w:pPr>
      <w:r>
        <w:rPr/>
        <w:t>Suid and scavenger effects matter. At Gobekli Tepe the relevant animal is wild boar, not domestic pig. Studies of pig bone consumption show that suids can destroy or alter smaller bones and cancellous material, which means fragmentary remains may disappear, move, or be overprinted by animal action. [8]</w:t>
      </w:r>
    </w:p>
    <w:p>
      <w:pPr>
        <w:pStyle w:val="Heading1"/>
        <w:rPr/>
      </w:pPr>
      <w:r>
        <w:rPr/>
        <w:t>10. Calcium crisis and bone as delayed mineral wealth</w:t>
      </w:r>
    </w:p>
    <w:p>
      <w:pPr>
        <w:pStyle w:val="Normal"/>
        <w:spacing w:lineRule="auto" w:line="252" w:before="0" w:after="120"/>
        <w:rPr/>
      </w:pPr>
      <w:r>
        <w:rPr/>
        <w:t>Calories are not the whole winter problem. A group can have stored grain, nuts, dried meat, pickled plants, alcohol-fermented drinks, and fat while still having trouble supplying enough calcium for skeletal growth, pregnancy, nursing, injury repair, teeth, and long-term bone strength.</w:t>
      </w:r>
    </w:p>
    <w:p>
      <w:pPr>
        <w:pStyle w:val="Normal"/>
        <w:spacing w:lineRule="auto" w:line="252" w:before="0" w:after="120"/>
        <w:rPr/>
      </w:pPr>
      <w:r>
        <w:rPr/>
        <w:t>Modern intake tables are not direct prehistoric rules, but they show the scale of the requirement. NIH lists calcium needs around 1,000-1,200 mg per day for adults and 1,300 mg per day for ages 9-18. It also notes that the skeleton stores almost all body calcium, that milk, yogurt, cheese, some greens, and fish eaten with bones are major food sources, and that grains are not naturally high-calcium foods. [16]</w:t>
      </w:r>
    </w:p>
    <w:p>
      <w:pPr>
        <w:pStyle w:val="Normal"/>
        <w:spacing w:lineRule="auto" w:line="252" w:before="0" w:after="120"/>
        <w:rPr/>
      </w:pPr>
      <w:r>
        <w:rPr/>
        <w:t>For a hunter/gather/farmer community, the high-risk bodies are exactly the bodies the group must protect: growing children, adolescents, pregnant or nursing women, injured adults, and older workers. A winter store dominated by cereals, lean preserved meat, pickled plants, and fermented drink could supply energy while undersupplying calcium unless small fish, edible bones, dairy, mineral-rich plants, mineral water, or crushed bone were included.</w:t>
      </w:r>
    </w:p>
    <w:p>
      <w:pPr>
        <w:pStyle w:val="Normal"/>
        <w:spacing w:lineRule="auto" w:line="252" w:before="0" w:after="120"/>
        <w:rPr/>
      </w:pPr>
      <w:r>
        <w:rPr/>
        <w:t>Large animal bones therefore remain valuable after meat and marrow are gone. Dry bone is largely mineral, dominated by calcium phosphate compounds such as hydroxyapatite; modern bone composition reviews place much bone mass in the mineral fraction. [17] Bone meal data also show the scale of mineral density: feed tables list raw, steamed, or calcined bone meal as calcium- and phosphorus-rich material. [18]</w:t>
      </w:r>
    </w:p>
    <w:p>
      <w:pPr>
        <w:pStyle w:val="Normal"/>
        <w:spacing w:lineRule="auto" w:line="252" w:before="0" w:after="120"/>
        <w:rPr/>
      </w:pPr>
      <w:r>
        <w:rPr/>
        <w:t>The archaeological implication is simple: bone is not just refuse. In a seasonal storage ecology, large animal bone is delayed mineral wealth. It can be cached, broken, boiled, crushed, burned, fed to dogs or suids, used as tool stock, used in ritual, or retained as emergency mineral matter. This also strengthens the first-wealth problem because bone stores are portable, remembered, recoverable value.</w:t>
      </w:r>
    </w:p>
    <w:p>
      <w:pPr>
        <w:pStyle w:val="Normal"/>
        <w:spacing w:lineRule="auto" w:line="252" w:before="0" w:after="120"/>
        <w:rPr/>
      </w:pPr>
      <w:r>
        <w:rPr/>
        <w:t>This does not prove calcium crisis at Gobekli Tepe. It adds a plausible resource pressure. Where food production is climbing the energy hump and winter diet depends on stored supplies, bone becomes part of the survival ledger along with grain, nuts, hides, vessels, water, firewood, dogs, and defensive memory.</w:t>
      </w:r>
    </w:p>
    <w:p>
      <w:pPr>
        <w:pStyle w:val="Heading1"/>
        <w:rPr/>
      </w:pPr>
      <w:r>
        <w:rPr/>
        <w:t>11. Evidence status in 2026</w:t>
      </w:r>
    </w:p>
    <w:p>
      <w:pPr>
        <w:pStyle w:val="Normal"/>
        <w:spacing w:lineRule="auto" w:line="252" w:before="0" w:after="120"/>
        <w:rPr/>
      </w:pPr>
      <w:r>
        <w:rPr/>
        <w:t>Current evidence favours a ceremonial-social landscape: monumental architecture, T-pillars, wild animal imagery, food processing, feasting, death practice, skull modification, domestic or settlement-like traces, and regional Tas Tepeler connections. [1], [2], [3], [5], [6], [12], [13]</w:t>
      </w:r>
    </w:p>
    <w:p>
      <w:pPr>
        <w:pStyle w:val="Normal"/>
        <w:spacing w:lineRule="auto" w:line="252" w:before="0" w:after="120"/>
        <w:rPr/>
      </w:pPr>
      <w:r>
        <w:rPr/>
        <w:t>The food basis is significant. Studies report more than 7,000 grinding and pounding tools at Gobekli Tepe, with cereal processing, meal production, and beverage or feasting contexts discussed in detail. [2], [12]</w:t>
      </w:r>
    </w:p>
    <w:p>
      <w:pPr>
        <w:pStyle w:val="Normal"/>
        <w:spacing w:lineRule="auto" w:line="252" w:before="0" w:after="120"/>
        <w:rPr/>
      </w:pPr>
      <w:r>
        <w:rPr/>
        <w:t>Regional conflict evidence remains thin for intergroup raiding. Kortik Tepe provides evidence for heightened interpersonal violence and homicide, while the same literature notes no firm evidence for between-group warfare at that horizon. [9]</w:t>
      </w:r>
    </w:p>
    <w:p>
      <w:pPr>
        <w:pStyle w:val="Normal"/>
        <w:spacing w:lineRule="auto" w:line="252" w:before="0" w:after="120"/>
        <w:rPr/>
      </w:pPr>
      <w:r>
        <w:rPr/>
        <w:t>The Raider Trap Layer therefore remains supplementary. It adds survival logic to a ritual-social system. It does not overturn the main model.</w:t>
      </w:r>
    </w:p>
    <w:p>
      <w:pPr>
        <w:pStyle w:val="Heading1"/>
        <w:rPr/>
      </w:pPr>
      <w:r>
        <w:rPr/>
        <w:t>12. Remaining gaps</w:t>
      </w:r>
    </w:p>
    <w:p>
      <w:pPr>
        <w:pStyle w:val="ListBullet"/>
        <w:numPr>
          <w:ilvl w:val="0"/>
          <w:numId w:val="1"/>
        </w:numPr>
        <w:spacing w:before="0" w:after="40"/>
        <w:contextualSpacing/>
        <w:rPr/>
      </w:pPr>
      <w:r>
        <w:rPr/>
        <w:t>No published raid layer at the core site.</w:t>
      </w:r>
    </w:p>
    <w:p>
      <w:pPr>
        <w:pStyle w:val="ListBullet"/>
        <w:numPr>
          <w:ilvl w:val="0"/>
          <w:numId w:val="1"/>
        </w:numPr>
        <w:spacing w:before="0" w:after="40"/>
        <w:contextualSpacing/>
        <w:rPr/>
      </w:pPr>
      <w:r>
        <w:rPr/>
        <w:t>No demonstrated siege damage pattern.</w:t>
      </w:r>
    </w:p>
    <w:p>
      <w:pPr>
        <w:pStyle w:val="ListBullet"/>
        <w:numPr>
          <w:ilvl w:val="0"/>
          <w:numId w:val="1"/>
        </w:numPr>
        <w:spacing w:before="0" w:after="40"/>
        <w:contextualSpacing/>
        <w:rPr/>
      </w:pPr>
      <w:r>
        <w:rPr/>
        <w:t>No weapon cache proving defensive use.</w:t>
      </w:r>
    </w:p>
    <w:p>
      <w:pPr>
        <w:pStyle w:val="ListBullet"/>
        <w:numPr>
          <w:ilvl w:val="0"/>
          <w:numId w:val="1"/>
        </w:numPr>
        <w:spacing w:before="0" w:after="40"/>
        <w:contextualSpacing/>
        <w:rPr/>
      </w:pPr>
      <w:r>
        <w:rPr/>
        <w:t>No core trauma cluster linking violence to the enclosures.</w:t>
      </w:r>
    </w:p>
    <w:p>
      <w:pPr>
        <w:pStyle w:val="ListBullet"/>
        <w:numPr>
          <w:ilvl w:val="0"/>
          <w:numId w:val="1"/>
        </w:numPr>
        <w:spacing w:before="0" w:after="40"/>
        <w:contextualSpacing/>
        <w:rPr/>
      </w:pPr>
      <w:r>
        <w:rPr/>
        <w:t>No demonstrated entry-control reconstruction for timber additions.</w:t>
      </w:r>
    </w:p>
    <w:p>
      <w:pPr>
        <w:pStyle w:val="ListBullet"/>
        <w:numPr>
          <w:ilvl w:val="0"/>
          <w:numId w:val="1"/>
        </w:numPr>
        <w:spacing w:before="0" w:after="40"/>
        <w:contextualSpacing/>
        <w:rPr/>
      </w:pPr>
      <w:r>
        <w:rPr/>
        <w:t>No firm proof that roof, pantry, or stone-release mechanisms were used tactically.</w:t>
      </w:r>
    </w:p>
    <w:p>
      <w:pPr>
        <w:pStyle w:val="ListBullet"/>
        <w:numPr>
          <w:ilvl w:val="0"/>
          <w:numId w:val="1"/>
        </w:numPr>
        <w:spacing w:before="0" w:after="40"/>
        <w:contextualSpacing/>
        <w:rPr/>
      </w:pPr>
      <w:r>
        <w:rPr/>
        <w:t>No site-level proof of calcium crisis or intentional bone-mineral storage.</w:t>
      </w:r>
    </w:p>
    <w:p>
      <w:pPr>
        <w:pStyle w:val="ListBullet"/>
        <w:numPr>
          <w:ilvl w:val="0"/>
          <w:numId w:val="1"/>
        </w:numPr>
        <w:spacing w:before="0" w:after="40"/>
        <w:contextualSpacing/>
        <w:rPr/>
      </w:pPr>
      <w:r>
        <w:rPr/>
        <w:t>No direct proof that the energy hump caused the monument system.</w:t>
      </w:r>
    </w:p>
    <w:p>
      <w:pPr>
        <w:pStyle w:val="ListBullet"/>
        <w:numPr>
          <w:ilvl w:val="0"/>
          <w:numId w:val="1"/>
        </w:numPr>
        <w:spacing w:before="0" w:after="40"/>
        <w:contextualSpacing/>
        <w:rPr/>
      </w:pPr>
      <w:r>
        <w:rPr/>
        <w:t>Regional intergroup-raiding proxies remain thin.</w:t>
      </w:r>
    </w:p>
    <w:p>
      <w:pPr>
        <w:pStyle w:val="ListBullet"/>
        <w:numPr>
          <w:ilvl w:val="0"/>
          <w:numId w:val="1"/>
        </w:numPr>
        <w:spacing w:before="0" w:after="40"/>
        <w:contextualSpacing/>
        <w:rPr/>
      </w:pPr>
      <w:r>
        <w:rPr/>
        <w:t>The mortuary crisis roles are possible survival logics, not demonstrated site practice.</w:t>
      </w:r>
    </w:p>
    <w:p>
      <w:pPr>
        <w:pStyle w:val="Normal"/>
        <w:spacing w:lineRule="auto" w:line="252" w:before="0" w:after="120"/>
        <w:rPr/>
      </w:pPr>
      <w:r>
        <w:rPr/>
        <w:t>These gaps limit rank. They do not kill compatibility. The hypothesis should remain supplementary unless future work finds stronger conflict, access, visitor, repair, timber, or mineral-use signals.</w:t>
      </w:r>
    </w:p>
    <w:p>
      <w:pPr>
        <w:pStyle w:val="Heading1"/>
        <w:rPr/>
      </w:pPr>
      <w:r>
        <w:rPr/>
        <w:t>13. Testable predictions</w:t>
      </w:r>
    </w:p>
    <w:p>
      <w:pPr>
        <w:pStyle w:val="ListBullet"/>
        <w:numPr>
          <w:ilvl w:val="0"/>
          <w:numId w:val="1"/>
        </w:numPr>
        <w:spacing w:before="0" w:after="40"/>
        <w:contextualSpacing/>
        <w:rPr/>
      </w:pPr>
      <w:r>
        <w:rPr/>
        <w:t>Access-zone repair or rebuilding clustered around movement routes.</w:t>
      </w:r>
    </w:p>
    <w:p>
      <w:pPr>
        <w:pStyle w:val="ListBullet"/>
        <w:numPr>
          <w:ilvl w:val="0"/>
          <w:numId w:val="1"/>
        </w:numPr>
        <w:spacing w:before="0" w:after="40"/>
        <w:contextualSpacing/>
        <w:rPr/>
      </w:pPr>
      <w:r>
        <w:rPr/>
        <w:t>Threshold patterning that affects how visitors enter, pause, turn, queue, or become visible.</w:t>
      </w:r>
    </w:p>
    <w:p>
      <w:pPr>
        <w:pStyle w:val="ListBullet"/>
        <w:numPr>
          <w:ilvl w:val="0"/>
          <w:numId w:val="1"/>
        </w:numPr>
        <w:spacing w:before="0" w:after="40"/>
        <w:contextualSpacing/>
        <w:rPr/>
      </w:pPr>
      <w:r>
        <w:rPr/>
        <w:t>Projectile, rubble, or impact concentrations in approach areas, not necessarily inside the core.</w:t>
      </w:r>
    </w:p>
    <w:p>
      <w:pPr>
        <w:pStyle w:val="ListBullet"/>
        <w:numPr>
          <w:ilvl w:val="0"/>
          <w:numId w:val="1"/>
        </w:numPr>
        <w:spacing w:before="0" w:after="40"/>
        <w:contextualSpacing/>
        <w:rPr/>
      </w:pPr>
      <w:r>
        <w:rPr/>
        <w:t>Visibility asymmetry between insiders and outsiders, especially with timber reconstruction.</w:t>
      </w:r>
    </w:p>
    <w:p>
      <w:pPr>
        <w:pStyle w:val="ListBullet"/>
        <w:numPr>
          <w:ilvl w:val="0"/>
          <w:numId w:val="1"/>
        </w:numPr>
        <w:spacing w:before="0" w:after="40"/>
        <w:contextualSpacing/>
        <w:rPr/>
      </w:pPr>
      <w:r>
        <w:rPr/>
        <w:t>Visitor signatures in food waste, lithics, isotopes, ornaments, or non-local material.</w:t>
      </w:r>
    </w:p>
    <w:p>
      <w:pPr>
        <w:pStyle w:val="ListBullet"/>
        <w:numPr>
          <w:ilvl w:val="0"/>
          <w:numId w:val="1"/>
        </w:numPr>
        <w:spacing w:before="0" w:after="40"/>
        <w:contextualSpacing/>
        <w:rPr/>
      </w:pPr>
      <w:r>
        <w:rPr/>
        <w:t>Deposits timed to closure, repair, crisis, or re-opening rather than ordinary abandonment.</w:t>
      </w:r>
    </w:p>
    <w:p>
      <w:pPr>
        <w:pStyle w:val="ListBullet"/>
        <w:numPr>
          <w:ilvl w:val="0"/>
          <w:numId w:val="1"/>
        </w:numPr>
        <w:spacing w:before="0" w:after="40"/>
        <w:contextualSpacing/>
        <w:rPr/>
      </w:pPr>
      <w:r>
        <w:rPr/>
        <w:t>Isolated teeth, skull fragments, cut marks, animal damage, and redeposited human bone rather than intact graves.</w:t>
      </w:r>
    </w:p>
    <w:p>
      <w:pPr>
        <w:pStyle w:val="ListBullet"/>
        <w:numPr>
          <w:ilvl w:val="0"/>
          <w:numId w:val="1"/>
        </w:numPr>
        <w:spacing w:before="0" w:after="40"/>
        <w:contextualSpacing/>
        <w:rPr/>
      </w:pPr>
      <w:r>
        <w:rPr/>
        <w:t>Bone breakage, burning, crushing, boiling, or storage patterns consistent with mineral use beyond marrow extraction.</w:t>
      </w:r>
    </w:p>
    <w:p>
      <w:pPr>
        <w:pStyle w:val="ListBullet"/>
        <w:numPr>
          <w:ilvl w:val="0"/>
          <w:numId w:val="1"/>
        </w:numPr>
        <w:spacing w:before="0" w:after="40"/>
        <w:contextualSpacing/>
        <w:rPr/>
      </w:pPr>
      <w:r>
        <w:rPr/>
        <w:t>Seasonal stress signatures consistent with winter-store pressure and mixed food strategies.</w:t>
      </w:r>
    </w:p>
    <w:p>
      <w:pPr>
        <w:pStyle w:val="ListBullet"/>
        <w:numPr>
          <w:ilvl w:val="0"/>
          <w:numId w:val="1"/>
        </w:numPr>
        <w:spacing w:before="0" w:after="40"/>
        <w:contextualSpacing/>
        <w:rPr/>
      </w:pPr>
      <w:r>
        <w:rPr/>
        <w:t>Evidence that symbolic imagery is placed where it would confront or sequence visitor movement.</w:t>
      </w:r>
    </w:p>
    <w:p>
      <w:pPr>
        <w:pStyle w:val="ListBullet"/>
        <w:numPr>
          <w:ilvl w:val="0"/>
          <w:numId w:val="1"/>
        </w:numPr>
        <w:spacing w:before="0" w:after="40"/>
        <w:contextualSpacing/>
        <w:rPr/>
      </w:pPr>
      <w:r>
        <w:rPr/>
        <w:t>Regional patterns of hunger stress, interpersonal violence, failed exchange, or mobility pressure around early food concentration.</w:t>
      </w:r>
    </w:p>
    <w:p>
      <w:pPr>
        <w:pStyle w:val="ListBullet"/>
        <w:numPr>
          <w:ilvl w:val="0"/>
          <w:numId w:val="1"/>
        </w:numPr>
        <w:spacing w:before="0" w:after="40"/>
        <w:contextualSpacing/>
        <w:rPr/>
      </w:pPr>
      <w:r>
        <w:rPr/>
        <w:t>Architectural modelling showing that T-pillars, benches, walls, roof edges, and timber additions could create delay, bunching, observation, and line-break points.</w:t>
      </w:r>
    </w:p>
    <w:p>
      <w:pPr>
        <w:pStyle w:val="Heading1"/>
        <w:rPr/>
      </w:pPr>
      <w:r>
        <w:rPr/>
        <w:t>14. What would weaken or falsify the layer</w:t>
      </w:r>
    </w:p>
    <w:p>
      <w:pPr>
        <w:pStyle w:val="ListBullet"/>
        <w:numPr>
          <w:ilvl w:val="0"/>
          <w:numId w:val="1"/>
        </w:numPr>
        <w:spacing w:before="0" w:after="40"/>
        <w:contextualSpacing/>
        <w:rPr/>
      </w:pPr>
      <w:r>
        <w:rPr/>
        <w:t>Reliable reconstruction showing no meaningful control of entry, height, visibility, movement, or queue formation.</w:t>
      </w:r>
    </w:p>
    <w:p>
      <w:pPr>
        <w:pStyle w:val="ListBullet"/>
        <w:numPr>
          <w:ilvl w:val="0"/>
          <w:numId w:val="1"/>
        </w:numPr>
        <w:spacing w:before="0" w:after="40"/>
        <w:contextualSpacing/>
        <w:rPr/>
      </w:pPr>
      <w:r>
        <w:rPr/>
        <w:t>Evidence that food processing and storage were too low-scale to create a realistic seasonal prize.</w:t>
      </w:r>
    </w:p>
    <w:p>
      <w:pPr>
        <w:pStyle w:val="ListBullet"/>
        <w:numPr>
          <w:ilvl w:val="0"/>
          <w:numId w:val="1"/>
        </w:numPr>
        <w:spacing w:before="0" w:after="40"/>
        <w:contextualSpacing/>
        <w:rPr/>
      </w:pPr>
      <w:r>
        <w:rPr/>
        <w:t>Evidence that bone was not stored, processed, crushed, burned, or retained in ways compatible with delayed mineral value.</w:t>
      </w:r>
    </w:p>
    <w:p>
      <w:pPr>
        <w:pStyle w:val="ListBullet"/>
        <w:numPr>
          <w:ilvl w:val="0"/>
          <w:numId w:val="1"/>
        </w:numPr>
        <w:spacing w:before="0" w:after="40"/>
        <w:contextualSpacing/>
        <w:rPr/>
      </w:pPr>
      <w:r>
        <w:rPr/>
        <w:t>Regional data showing little or no violence, stress, mobility conflict, scarcity pressure, or predation pressure in the relevant horizon.</w:t>
      </w:r>
    </w:p>
    <w:p>
      <w:pPr>
        <w:pStyle w:val="ListBullet"/>
        <w:numPr>
          <w:ilvl w:val="0"/>
          <w:numId w:val="1"/>
        </w:numPr>
        <w:spacing w:before="0" w:after="40"/>
        <w:contextualSpacing/>
        <w:rPr/>
      </w:pPr>
      <w:r>
        <w:rPr/>
        <w:t>Taphonomic work showing that scattered human remains are fully explained by unrelated later disturbance.</w:t>
      </w:r>
    </w:p>
    <w:p>
      <w:pPr>
        <w:pStyle w:val="ListBullet"/>
        <w:numPr>
          <w:ilvl w:val="0"/>
          <w:numId w:val="1"/>
        </w:numPr>
        <w:spacing w:before="0" w:after="40"/>
        <w:contextualSpacing/>
        <w:rPr/>
      </w:pPr>
      <w:r>
        <w:rPr/>
        <w:t>Excavation patterns showing no repair, access stress, projectile loss, rubble logic, or visitor differentiation near likely routes.</w:t>
      </w:r>
    </w:p>
    <w:p>
      <w:pPr>
        <w:pStyle w:val="ListBullet"/>
        <w:numPr>
          <w:ilvl w:val="0"/>
          <w:numId w:val="1"/>
        </w:numPr>
        <w:spacing w:before="0" w:after="40"/>
        <w:contextualSpacing/>
        <w:rPr/>
      </w:pPr>
      <w:r>
        <w:rPr/>
        <w:t>A stronger model that explains the same ritual, food, death, bone, and visibility pattern without threat-management value.</w:t>
      </w:r>
    </w:p>
    <w:p>
      <w:pPr>
        <w:pStyle w:val="Heading1"/>
        <w:rPr/>
      </w:pPr>
      <w:r>
        <w:rPr/>
        <w:t>15. Language note for public output</w:t>
      </w:r>
    </w:p>
    <w:p>
      <w:pPr>
        <w:pStyle w:val="Normal"/>
        <w:spacing w:lineRule="auto" w:line="252" w:before="0" w:after="120"/>
        <w:rPr/>
      </w:pPr>
      <w:r>
        <w:rPr/>
        <w:t>The paper should avoid lurid language. Use "conspecific consumption" for the crisis possibility. Use "threat management" rather than "military purpose" unless direct evidence appears. Use "Raider Trap Layer" as a nickname, not as a claim of primary function.</w:t>
      </w:r>
    </w:p>
    <w:p>
      <w:pPr>
        <w:pStyle w:val="Normal"/>
        <w:spacing w:lineRule="auto" w:line="252" w:before="0" w:after="120"/>
        <w:rPr/>
      </w:pPr>
      <w:r>
        <w:rPr/>
        <w:t>Modern categories such as crime, desecration, property, and acceptable food are poor starting assumptions for early Holocene survival systems. This paper treats burial, feasting, scavenging, predator attraction, calcium storage, and emergency retrieval as possible roles within a seasonal risk ecology. It does not infer routine conspecific consumption, and it does not treat rare crisis behaviour as ordinary practice.</w:t>
      </w:r>
    </w:p>
    <w:p>
      <w:pPr>
        <w:pStyle w:val="Heading1"/>
        <w:rPr/>
      </w:pPr>
      <w:r>
        <w:rPr/>
        <w:t>Conclusion</w:t>
      </w:r>
    </w:p>
    <w:p>
      <w:pPr>
        <w:pStyle w:val="Normal"/>
        <w:spacing w:lineRule="auto" w:line="252" w:before="0" w:after="120"/>
        <w:rPr/>
      </w:pPr>
      <w:r>
        <w:rPr/>
        <w:t>Gobekli Tepe is not treated here as a fort. It is treated as a ceremonial gathering system that may also have helped solve the first-wealth problem: how to hold food, memory, labour, dead, bone, and authority in one visible place without becoming an easy survival prize for hungry outsiders.</w:t>
      </w:r>
    </w:p>
    <w:p>
      <w:pPr>
        <w:pStyle w:val="Normal"/>
        <w:spacing w:lineRule="auto" w:line="252" w:before="0" w:after="120"/>
        <w:rPr/>
      </w:pPr>
      <w:r>
        <w:rPr/>
        <w:t>Version 0.6 adds two pressures that make the middle phase sharper. The energy hump means early food production could demand extra labour before it became reliably better than older lifeways. The calcium crisis means stored winter calories may not have supplied enough mineral value unless bones, fish, dairy, greens, mineral water, or crushed bone were part of the system. In that setting, bone is not waste. Bone is delayed mineral wealth.</w:t>
      </w:r>
    </w:p>
    <w:p>
      <w:pPr>
        <w:pStyle w:val="Normal"/>
        <w:spacing w:lineRule="auto" w:line="252" w:before="0" w:after="120"/>
        <w:rPr/>
      </w:pPr>
      <w:r>
        <w:rPr/>
        <w:t>The threat-management layer may have worked through role conversion, ritual obligation, access delay, vertical advantage, stored warning memory, durable stone persons, mineral caching, and seasonal fallback systems. The model predicts mixed traces and many absences: not mass trauma, but fragmented remains, altered skulls, teeth, food-processing scale, bone processing, threshold logic, timber-dependent affordances, repair, visitor patterning, and stories hardened into architecture.</w:t>
      </w:r>
    </w:p>
    <w:p>
      <w:pPr>
        <w:pStyle w:val="Normal"/>
        <w:spacing w:lineRule="auto" w:line="252" w:before="0" w:after="120"/>
        <w:rPr/>
      </w:pPr>
      <w:r>
        <w:rPr/>
        <w:t>Final formulation: Gobekli Tepe may show how ritual systems managed the first dangerous concentration of food, labour, memory, dead, bone, and visibility. The Raider Trap Layer is not a replacement for the ceremonial model. It is a behavioural ecology layer inside it.</w:t>
      </w:r>
    </w:p>
    <w:p>
      <w:pPr>
        <w:pStyle w:val="Heading1"/>
        <w:rPr/>
      </w:pPr>
      <w:r>
        <w:rPr/>
        <w:t>References and source anchors</w:t>
      </w:r>
    </w:p>
    <w:p>
      <w:pPr>
        <w:pStyle w:val="References"/>
        <w:rPr/>
      </w:pPr>
      <w:r>
        <w:rPr/>
        <w:t xml:space="preserve">[1] UNESCO World Heritage Centre. Gobekli Tepe. Dating, setting, pillars, and ritual framing. </w:t>
      </w:r>
      <w:hyperlink r:id="rId2">
        <w:r>
          <w:rPr>
            <w:rStyle w:val="Style"/>
            <w:color w:val="0563C1"/>
            <w:u w:val="single"/>
          </w:rPr>
          <w:t>https://whc.unesco.org/en/list/1572/</w:t>
        </w:r>
      </w:hyperlink>
    </w:p>
    <w:p>
      <w:pPr>
        <w:pStyle w:val="References"/>
        <w:rPr/>
      </w:pPr>
      <w:r>
        <w:rPr/>
        <w:t xml:space="preserve">[2] German Archaeological Institute, The Tepe Telegrams. Cereals, feasts and monuments at Gobekli Tepe. </w:t>
      </w:r>
      <w:hyperlink r:id="rId3">
        <w:r>
          <w:rPr>
            <w:rStyle w:val="Style"/>
            <w:color w:val="0563C1"/>
            <w:u w:val="single"/>
          </w:rPr>
          <w:t>https://www.dainst.blog/the-tepe-telegrams/2019/05/09/cereals-feasts-and-monuments-at-gobekli-tepe/</w:t>
        </w:r>
      </w:hyperlink>
    </w:p>
    <w:p>
      <w:pPr>
        <w:pStyle w:val="References"/>
        <w:rPr/>
      </w:pPr>
      <w:r>
        <w:rPr/>
        <w:t xml:space="preserve">[3] Gresky et al. 2017. Modified human crania from Gobekli Tepe provide evidence for a new form of Neolithic skull practice. Science Advances. </w:t>
      </w:r>
      <w:hyperlink r:id="rId4">
        <w:r>
          <w:rPr>
            <w:rStyle w:val="Style"/>
            <w:color w:val="0563C1"/>
            <w:u w:val="single"/>
          </w:rPr>
          <w:t>https://www.science.org/doi/10.1126/sciadv.1700564</w:t>
        </w:r>
      </w:hyperlink>
    </w:p>
    <w:p>
      <w:pPr>
        <w:pStyle w:val="References"/>
        <w:rPr/>
      </w:pPr>
      <w:r>
        <w:rPr/>
        <w:t xml:space="preserve">[4] German Archaeological Institute, The Tepe Telegrams. Evidence for skull practice at Gobekli Tepe. </w:t>
      </w:r>
      <w:hyperlink r:id="rId5">
        <w:r>
          <w:rPr>
            <w:rStyle w:val="Style"/>
            <w:color w:val="0563C1"/>
            <w:u w:val="single"/>
          </w:rPr>
          <w:t>https://www.dainst.blog/the-tepe-telegrams/2017/06/28/new-publication-in-science-advances-evidence-for-skull-cult-at-gobekli-tepe/</w:t>
        </w:r>
      </w:hyperlink>
    </w:p>
    <w:p>
      <w:pPr>
        <w:pStyle w:val="References"/>
        <w:rPr/>
      </w:pPr>
      <w:r>
        <w:rPr/>
        <w:t xml:space="preserve">[5] Reuters. 2025. New finds in Turkey's southeast add to picture of Neolithic age. </w:t>
      </w:r>
      <w:hyperlink r:id="rId6">
        <w:r>
          <w:rPr>
            <w:rStyle w:val="Style"/>
            <w:color w:val="0563C1"/>
            <w:u w:val="single"/>
          </w:rPr>
          <w:t>https://www.reuters.com/science/new-finds-turkeys-southeast-add-picture-neolithic-age-2025-11-26/</w:t>
        </w:r>
      </w:hyperlink>
    </w:p>
    <w:p>
      <w:pPr>
        <w:pStyle w:val="References"/>
        <w:rPr/>
      </w:pPr>
      <w:r>
        <w:rPr/>
        <w:t xml:space="preserve">[6] Kinzel, Sonmez, and colleagues. Built on Rock: reconstruction of the Neolithic topography of Gobekli Tepe. DAI publications. </w:t>
      </w:r>
      <w:hyperlink r:id="rId7">
        <w:r>
          <w:rPr>
            <w:rStyle w:val="Style"/>
            <w:color w:val="0563C1"/>
            <w:u w:val="single"/>
          </w:rPr>
          <w:t>https://publications.dainst.org/journals/istmitt/article/view/4708/8479</w:t>
        </w:r>
      </w:hyperlink>
    </w:p>
    <w:p>
      <w:pPr>
        <w:pStyle w:val="References"/>
        <w:rPr/>
      </w:pPr>
      <w:r>
        <w:rPr/>
        <w:t xml:space="preserve">[7] Kinzel et al. 2024. Shaking up the Neolithic: tracing seismic impact at Gobekli Tepe. Journal of Archaeological Science: Reports. </w:t>
      </w:r>
      <w:hyperlink r:id="rId8">
        <w:r>
          <w:rPr>
            <w:rStyle w:val="Style"/>
            <w:color w:val="0563C1"/>
            <w:u w:val="single"/>
          </w:rPr>
          <w:t>https://www.sciencedirect.com/science/article/pii/S2352226724000618</w:t>
        </w:r>
      </w:hyperlink>
    </w:p>
    <w:p>
      <w:pPr>
        <w:pStyle w:val="References"/>
        <w:rPr/>
      </w:pPr>
      <w:r>
        <w:rPr/>
        <w:t xml:space="preserve">[8] Greenfield 1988. Bone consumption by pigs in a contemporary Serbian village. Journal of Field Archaeology. </w:t>
      </w:r>
      <w:hyperlink r:id="rId9">
        <w:r>
          <w:rPr>
            <w:rStyle w:val="Style"/>
            <w:color w:val="0563C1"/>
            <w:u w:val="single"/>
          </w:rPr>
          <w:t>https://www.tandfonline.com/doi/abs/10.1179/jfa.1988.15.4.473</w:t>
        </w:r>
      </w:hyperlink>
    </w:p>
    <w:p>
      <w:pPr>
        <w:pStyle w:val="References"/>
        <w:rPr/>
      </w:pPr>
      <w:r>
        <w:rPr/>
        <w:t xml:space="preserve">[9] German Archaeological Institute, The Tepe Telegrams. Ritual practices and conflict mitigation at early Neolithic Kortik Tepe and Gobekli Tepe. </w:t>
      </w:r>
      <w:hyperlink r:id="rId10">
        <w:r>
          <w:rPr>
            <w:rStyle w:val="Style"/>
            <w:color w:val="0563C1"/>
            <w:u w:val="single"/>
          </w:rPr>
          <w:t>https://www.dainst.blog/the-tepe-telegrams/2019/03/12/new-publication-ritual-practices-and-conflict-mitigation-at-early-neolithic-kortik-tepe-and-gobekli-tepe/</w:t>
        </w:r>
      </w:hyperlink>
    </w:p>
    <w:p>
      <w:pPr>
        <w:pStyle w:val="References"/>
        <w:rPr/>
      </w:pPr>
      <w:r>
        <w:rPr/>
        <w:t xml:space="preserve">[10] German Archaeological Institute, The Tepe Telegrams. T-pillars and anthropomorphic features. </w:t>
      </w:r>
      <w:hyperlink r:id="rId11">
        <w:r>
          <w:rPr>
            <w:rStyle w:val="Style"/>
            <w:color w:val="0563C1"/>
            <w:u w:val="single"/>
          </w:rPr>
          <w:t>https://www.dainst.blog/the-tepe-telegrams/tag/t-pillars/</w:t>
        </w:r>
      </w:hyperlink>
    </w:p>
    <w:p>
      <w:pPr>
        <w:pStyle w:val="References"/>
        <w:rPr/>
      </w:pPr>
      <w:r>
        <w:rPr/>
        <w:t xml:space="preserve">[11] The Tepe Telegrams. Current distribution of sites with T-shaped pillars. </w:t>
      </w:r>
      <w:hyperlink r:id="rId12">
        <w:r>
          <w:rPr>
            <w:rStyle w:val="Style"/>
            <w:color w:val="0563C1"/>
            <w:u w:val="single"/>
          </w:rPr>
          <w:t>https://tepetelegrams.wordpress.com/2016/05/08/the-current-distribution-of-sites-with-t-shaped-pillars/</w:t>
        </w:r>
      </w:hyperlink>
    </w:p>
    <w:p>
      <w:pPr>
        <w:pStyle w:val="References"/>
        <w:rPr/>
      </w:pPr>
      <w:r>
        <w:rPr/>
        <w:t xml:space="preserve">[12] Dietrich et al. 2019. Cereal processing at Early Neolithic Gobekli Tepe, southeastern Turkey. PLOS ONE. </w:t>
      </w:r>
      <w:hyperlink r:id="rId13">
        <w:r>
          <w:rPr>
            <w:rStyle w:val="Style"/>
            <w:color w:val="0563C1"/>
            <w:u w:val="single"/>
          </w:rPr>
          <w:t>https://journals.plos.org/plosone/article?id=10.1371/journal.pone.0215214</w:t>
        </w:r>
      </w:hyperlink>
    </w:p>
    <w:p>
      <w:pPr>
        <w:pStyle w:val="References"/>
        <w:rPr/>
      </w:pPr>
      <w:r>
        <w:rPr/>
        <w:t xml:space="preserve">[13] Banning 2011. So Fair a House: Gobekli Tepe and the identification of temples in the Pre-Pottery Neolithic of the Near East. Current Anthropology. </w:t>
      </w:r>
      <w:hyperlink r:id="rId14">
        <w:r>
          <w:rPr>
            <w:rStyle w:val="Style"/>
            <w:color w:val="0563C1"/>
            <w:u w:val="single"/>
          </w:rPr>
          <w:t>https://www.journals.uchicago.edu/doi/abs/10.1086/661207</w:t>
        </w:r>
      </w:hyperlink>
    </w:p>
    <w:p>
      <w:pPr>
        <w:pStyle w:val="References"/>
        <w:rPr/>
      </w:pPr>
      <w:r>
        <w:rPr/>
        <w:t xml:space="preserve">[14] Smith 2001. Low-Level Food Production. Journal of Archaeological Research. </w:t>
      </w:r>
      <w:hyperlink r:id="rId15">
        <w:r>
          <w:rPr>
            <w:rStyle w:val="Style"/>
            <w:color w:val="0563C1"/>
            <w:u w:val="single"/>
          </w:rPr>
          <w:t>https://faculty.washington.edu/stevehar/Smith%202001-%20Low%20Level%20food%20Production.pdf</w:t>
        </w:r>
      </w:hyperlink>
    </w:p>
    <w:p>
      <w:pPr>
        <w:pStyle w:val="References"/>
        <w:rPr/>
      </w:pPr>
      <w:r>
        <w:rPr/>
        <w:t xml:space="preserve">[15] Zeder 2011. The Origins of Agriculture in the Near East. Current Anthropology. </w:t>
      </w:r>
      <w:hyperlink r:id="rId16">
        <w:r>
          <w:rPr>
            <w:rStyle w:val="Style"/>
            <w:color w:val="0563C1"/>
            <w:u w:val="single"/>
          </w:rPr>
          <w:t>https://www.journals.uchicago.edu/doi/10.1086/659307</w:t>
        </w:r>
      </w:hyperlink>
    </w:p>
    <w:p>
      <w:pPr>
        <w:pStyle w:val="References"/>
        <w:rPr/>
      </w:pPr>
      <w:r>
        <w:rPr/>
        <w:t xml:space="preserve">[16] NIH Office of Dietary Supplements. Calcium fact sheet for health professionals. </w:t>
      </w:r>
      <w:hyperlink r:id="rId17">
        <w:r>
          <w:rPr>
            <w:rStyle w:val="Style"/>
            <w:color w:val="0563C1"/>
            <w:u w:val="single"/>
          </w:rPr>
          <w:t>https://ods.od.nih.gov/factsheets/Calcium-HealthProfessional/</w:t>
        </w:r>
      </w:hyperlink>
    </w:p>
    <w:p>
      <w:pPr>
        <w:pStyle w:val="References"/>
        <w:rPr/>
      </w:pPr>
      <w:r>
        <w:rPr/>
        <w:t xml:space="preserve">[17] Boskey and Coleman 2013. Bone composition: relationship to bone fragility and antiosteoporotic drug effects. Calcified Tissue International. </w:t>
      </w:r>
      <w:hyperlink r:id="rId18">
        <w:r>
          <w:rPr>
            <w:rStyle w:val="Style"/>
            <w:color w:val="0563C1"/>
            <w:u w:val="single"/>
          </w:rPr>
          <w:t>https://pmc.ncbi.nlm.nih.gov/articles/PMC3909232/</w:t>
        </w:r>
      </w:hyperlink>
    </w:p>
    <w:p>
      <w:pPr>
        <w:pStyle w:val="References"/>
        <w:spacing w:lineRule="auto" w:line="240" w:before="0" w:after="40"/>
        <w:rPr/>
      </w:pPr>
      <w:r>
        <w:rPr/>
        <w:t xml:space="preserve">[18] Feedipedia. Bone meal datasheet. </w:t>
      </w:r>
      <w:hyperlink r:id="rId19">
        <w:r>
          <w:rPr>
            <w:rStyle w:val="Style"/>
            <w:color w:val="0563C1"/>
            <w:u w:val="single"/>
          </w:rPr>
          <w:t>https://www.feedipedia.org/node/219</w:t>
        </w:r>
      </w:hyperlink>
    </w:p>
    <w:sectPr>
      <w:footerReference w:type="even" r:id="rId20"/>
      <w:footerReference w:type="default" r:id="rId21"/>
      <w:footerReference w:type="first" r:id="rId22"/>
      <w:type w:val="nextPage"/>
      <w:pgSz w:w="12240" w:h="15840"/>
      <w:pgMar w:left="1037" w:right="1037"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Gobekli Tepe Raider Trap Layer v0.6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Gobekli Tepe Raider Trap Layer v0.6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ferences" w:customStyle="1">
    <w:name w:val="References"/>
    <w:basedOn w:val="Normal"/>
    <w:qFormat/>
    <w:pPr>
      <w:spacing w:lineRule="auto" w:line="240" w:before="0" w:after="40"/>
    </w:pPr>
    <w:rPr>
      <w:sz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hc.unesco.org/en/list/1572/" TargetMode="External"/><Relationship Id="rId3" Type="http://schemas.openxmlformats.org/officeDocument/2006/relationships/hyperlink" Target="https://www.dainst.blog/the-tepe-telegrams/2019/05/09/cereals-feasts-and-monuments-at-gobekli-tepe/" TargetMode="External"/><Relationship Id="rId4" Type="http://schemas.openxmlformats.org/officeDocument/2006/relationships/hyperlink" Target="https://www.science.org/doi/10.1126/sciadv.1700564" TargetMode="External"/><Relationship Id="rId5" Type="http://schemas.openxmlformats.org/officeDocument/2006/relationships/hyperlink" Target="https://www.dainst.blog/the-tepe-telegrams/2017/06/28/new-publication-in-science-advances-evidence-for-skull-cult-at-gobekli-tepe/" TargetMode="External"/><Relationship Id="rId6" Type="http://schemas.openxmlformats.org/officeDocument/2006/relationships/hyperlink" Target="https://www.reuters.com/science/new-finds-turkeys-southeast-add-picture-neolithic-age-2025-11-26/" TargetMode="External"/><Relationship Id="rId7" Type="http://schemas.openxmlformats.org/officeDocument/2006/relationships/hyperlink" Target="https://publications.dainst.org/journals/istmitt/article/view/4708/8479" TargetMode="External"/><Relationship Id="rId8" Type="http://schemas.openxmlformats.org/officeDocument/2006/relationships/hyperlink" Target="https://www.sciencedirect.com/science/article/pii/S2352226724000618" TargetMode="External"/><Relationship Id="rId9" Type="http://schemas.openxmlformats.org/officeDocument/2006/relationships/hyperlink" Target="https://www.tandfonline.com/doi/abs/10.1179/jfa.1988.15.4.473" TargetMode="External"/><Relationship Id="rId10" Type="http://schemas.openxmlformats.org/officeDocument/2006/relationships/hyperlink" Target="https://www.dainst.blog/the-tepe-telegrams/2019/03/12/new-publication-ritual-practices-and-conflict-mitigation-at-early-neolithic-kortik-tepe-and-gobekli-tepe/" TargetMode="External"/><Relationship Id="rId11" Type="http://schemas.openxmlformats.org/officeDocument/2006/relationships/hyperlink" Target="https://www.dainst.blog/the-tepe-telegrams/tag/t-pillars/" TargetMode="External"/><Relationship Id="rId12" Type="http://schemas.openxmlformats.org/officeDocument/2006/relationships/hyperlink" Target="https://tepetelegrams.wordpress.com/2016/05/08/the-current-distribution-of-sites-with-t-shaped-pillars/" TargetMode="External"/><Relationship Id="rId13" Type="http://schemas.openxmlformats.org/officeDocument/2006/relationships/hyperlink" Target="https://journals.plos.org/plosone/article?id=10.1371/journal.pone.0215214" TargetMode="External"/><Relationship Id="rId14" Type="http://schemas.openxmlformats.org/officeDocument/2006/relationships/hyperlink" Target="https://www.journals.uchicago.edu/doi/abs/10.1086/661207" TargetMode="External"/><Relationship Id="rId15" Type="http://schemas.openxmlformats.org/officeDocument/2006/relationships/hyperlink" Target="https://faculty.washington.edu/stevehar/Smith%202001-%20Low%20Level%20food%20Production.pdf" TargetMode="External"/><Relationship Id="rId16" Type="http://schemas.openxmlformats.org/officeDocument/2006/relationships/hyperlink" Target="https://www.journals.uchicago.edu/doi/10.1086/659307" TargetMode="External"/><Relationship Id="rId17" Type="http://schemas.openxmlformats.org/officeDocument/2006/relationships/hyperlink" Target="https://ods.od.nih.gov/factsheets/Calcium-HealthProfessional/" TargetMode="External"/><Relationship Id="rId18" Type="http://schemas.openxmlformats.org/officeDocument/2006/relationships/hyperlink" Target="https://pmc.ncbi.nlm.nih.gov/articles/PMC3909232/" TargetMode="External"/><Relationship Id="rId19" Type="http://schemas.openxmlformats.org/officeDocument/2006/relationships/hyperlink" Target="https://www.feedipedia.org/node/219"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LibreOffice/25.2.3.2$Linux_X86_64 LibreOffice_project/520$Build-2</Application>
  <AppVersion>15.0000</AppVersion>
  <Pages>8</Pages>
  <Words>3554</Words>
  <Characters>21866</Characters>
  <CharactersWithSpaces>25237</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2026-05-17T18:50:12Z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