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Aptos Display" w:hAnsi="Aptos Display"/>
          <w:b/>
          <w:sz w:val="40"/>
        </w:rPr>
        <w:t>Gobekli Tepe and the First-Wealth Problem</w:t>
      </w:r>
    </w:p>
    <w:p>
      <w:pPr>
        <w:pStyle w:val="Normal"/>
        <w:jc w:val="center"/>
        <w:rPr/>
      </w:pPr>
      <w:r>
        <w:rPr>
          <w:i/>
          <w:sz w:val="26"/>
        </w:rPr>
        <w:t>Ritual, Food Concentration, and Raider-Risk Management</w:t>
      </w:r>
    </w:p>
    <w:p>
      <w:pPr>
        <w:pStyle w:val="Normal"/>
        <w:jc w:val="center"/>
        <w:rPr/>
      </w:pPr>
      <w:r>
        <w:rPr>
          <w:color w:val="505050"/>
          <w:sz w:val="20"/>
        </w:rPr>
        <w:t>Working paper v0.4 | 17 May 2026</w:t>
      </w:r>
    </w:p>
    <w:p>
      <w:pPr>
        <w:pStyle w:val="Heading1"/>
        <w:rPr/>
      </w:pPr>
      <w:r>
        <w:rPr/>
        <w:t>Abstract</w:t>
      </w:r>
    </w:p>
    <w:p>
      <w:pPr>
        <w:pStyle w:val="Normal"/>
        <w:rPr/>
      </w:pPr>
      <w:r>
        <w:rPr>
          <w:b/>
        </w:rPr>
        <w:t xml:space="preserve">This paper does not argue that Gobekli Tepe was mainly a fort, battlefield, or military installation. </w:t>
      </w:r>
      <w:r>
        <w:rPr/>
        <w:t>It proposes a functional layer within the established ceremonial gathering model. During the early concentration of food, labor, symbolic capital, dead, memory, and regional visibility, communal ritual may also have managed risk. Feasting, death practice, lineage display, animal imagery, ridge position, visitor gathering, and monumental architecture could have converted dangerous outsiders into guests, witnesses, rivals, allies, affines, trading partners, supplicants, or short-burst raiders before siege dynamics formed. The hypothesis predicts mixed evidence of food processing, ritual closure, identity display, visitor management, symbolic intimidation, and regional tension, not mass trauma or obvious siege debris at the core site. Current evidence supports the ceremonial-social model as primary; the Raider Trap Layer remains a testable behavioral ecology enhancer.</w:t>
      </w:r>
    </w:p>
    <w:p>
      <w:pPr>
        <w:pStyle w:val="Heading1"/>
        <w:rPr/>
      </w:pPr>
      <w:r>
        <w:rPr/>
        <w:t>Claim status</w:t>
      </w:r>
    </w:p>
    <w:p>
      <w:pPr>
        <w:pStyle w:val="IntenseQuote"/>
        <w:spacing w:before="80" w:after="160"/>
        <w:ind w:left="360" w:right="360"/>
        <w:rPr/>
      </w:pPr>
      <w:r>
        <w:rPr/>
        <w:t>Rank discipline: ceremonial gathering remains the primary model. Threat management is proposed as a secondary functional layer within that system.</w:t>
      </w:r>
    </w:p>
    <w:tbl>
      <w:tblPr>
        <w:tblStyle w:val="TableGrid"/>
        <w:tblW w:w="10080" w:type="dxa"/>
        <w:jc w:val="center"/>
        <w:tblInd w:w="0" w:type="dxa"/>
        <w:tblLayout w:type="fixed"/>
        <w:tblCellMar>
          <w:top w:w="80" w:type="dxa"/>
          <w:left w:w="80" w:type="dxa"/>
          <w:bottom w:w="80" w:type="dxa"/>
          <w:right w:w="80" w:type="dxa"/>
        </w:tblCellMar>
        <w:tblLook w:val="04a0" w:noHBand="0" w:noVBand="1" w:firstColumn="1" w:lastRow="0" w:lastColumn="0" w:firstRow="1"/>
      </w:tblPr>
      <w:tblGrid>
        <w:gridCol w:w="5040"/>
        <w:gridCol w:w="5039"/>
      </w:tblGrid>
      <w:tr>
        <w:trPr/>
        <w:tc>
          <w:tcPr>
            <w:tcW w:w="5040" w:type="dxa"/>
            <w:tcBorders/>
            <w:shd w:fill="D9EAF7"/>
          </w:tcPr>
          <w:p>
            <w:pPr>
              <w:pStyle w:val="Normal"/>
              <w:widowControl/>
              <w:spacing w:lineRule="auto" w:line="240" w:before="0" w:after="0"/>
              <w:jc w:val="left"/>
              <w:rPr>
                <w:rFonts w:cs=""/>
                <w:kern w:val="0"/>
                <w:szCs w:val="22"/>
                <w:lang w:val="en-US" w:eastAsia="en-US" w:bidi="ar-SA"/>
              </w:rPr>
            </w:pPr>
            <w:r>
              <w:rPr>
                <w:rFonts w:cs=""/>
                <w:b/>
                <w:kern w:val="0"/>
                <w:sz w:val="18"/>
                <w:szCs w:val="22"/>
                <w:lang w:val="en-US" w:eastAsia="en-US" w:bidi="ar-SA"/>
              </w:rPr>
              <w:t>This paper does not claim</w:t>
            </w:r>
          </w:p>
        </w:tc>
        <w:tc>
          <w:tcPr>
            <w:tcW w:w="5039" w:type="dxa"/>
            <w:tcBorders/>
            <w:shd w:fill="D9EAF7"/>
          </w:tcPr>
          <w:p>
            <w:pPr>
              <w:pStyle w:val="Normal"/>
              <w:widowControl/>
              <w:spacing w:lineRule="auto" w:line="240" w:before="0" w:after="0"/>
              <w:jc w:val="left"/>
              <w:rPr>
                <w:rFonts w:cs=""/>
                <w:kern w:val="0"/>
                <w:szCs w:val="22"/>
                <w:lang w:val="en-US" w:eastAsia="en-US" w:bidi="ar-SA"/>
              </w:rPr>
            </w:pPr>
            <w:r>
              <w:rPr>
                <w:rFonts w:cs=""/>
                <w:b/>
                <w:kern w:val="0"/>
                <w:sz w:val="18"/>
                <w:szCs w:val="22"/>
                <w:lang w:val="en-US" w:eastAsia="en-US" w:bidi="ar-SA"/>
              </w:rPr>
              <w:t>This paper does claim</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Gobekli Tepe was mainly a fort.</w:t>
            </w:r>
          </w:p>
        </w:tc>
        <w:tc>
          <w:tcPr>
            <w:tcW w:w="5039"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A ceremonial system may also manage threat.</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Gobekli Tepe was a battlefield.</w:t>
            </w:r>
          </w:p>
        </w:tc>
        <w:tc>
          <w:tcPr>
            <w:tcW w:w="5039"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Ritual and defense may not yet be separate categories.</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Raid or siege evidence has been found at the core site.</w:t>
            </w:r>
          </w:p>
        </w:tc>
        <w:tc>
          <w:tcPr>
            <w:tcW w:w="5039"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The expected trace may be mixed social ecology.</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The ceremonial model is wrong.</w:t>
            </w:r>
          </w:p>
        </w:tc>
        <w:tc>
          <w:tcPr>
            <w:tcW w:w="5039"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The ceremonial model is the host body for the added layer.</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Human remains prove routine conspecific consumption.</w:t>
            </w:r>
          </w:p>
        </w:tc>
        <w:tc>
          <w:tcPr>
            <w:tcW w:w="5039"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Rare crisis pathways can alter what remains archaeologically.</w:t>
            </w:r>
          </w:p>
        </w:tc>
      </w:tr>
    </w:tbl>
    <w:p>
      <w:pPr>
        <w:pStyle w:val="Heading1"/>
        <w:rPr/>
      </w:pPr>
      <w:r>
        <w:rPr/>
        <w:t>1. Site frame and current baseline</w:t>
      </w:r>
    </w:p>
    <w:p>
      <w:pPr>
        <w:pStyle w:val="Normal"/>
        <w:rPr/>
      </w:pPr>
      <w:r>
        <w:rPr>
          <w:b/>
        </w:rPr>
        <w:t xml:space="preserve">Gobekli Tepe </w:t>
      </w:r>
      <w:r>
        <w:rPr/>
        <w:t>sits in the Germus mountains of south-eastern Anatolia. UNESCO dates its monumental round-oval and rectangular megalithic buildings to the Pre-Pottery Neolithic, roughly 9600 to 8200 BCE. The T-shaped pillars carry wild animal imagery and are usually framed as ritual monuments, probably with funerary dimensions. [1]</w:t>
      </w:r>
    </w:p>
    <w:p>
      <w:pPr>
        <w:pStyle w:val="Normal"/>
        <w:rPr/>
      </w:pPr>
      <w:r>
        <w:rPr>
          <w:b/>
        </w:rPr>
        <w:t xml:space="preserve">Recent research has softened the older image of an isolated sanctuary. </w:t>
      </w:r>
      <w:r>
        <w:rPr/>
        <w:t>Food processing, domestic traces, architectural phasing, water and settlement questions, roofed or split-level building possibilities, and the wider Tas Tepeler landscape all point toward a social system more complex than a single-purpose shrine. The baseline reading remains ceremonial gathering, feasting, death practice, identity work, and regional symbolic networking. The present hypothesis accepts that baseline and asks what extra work such a system might have performed under risk.</w:t>
      </w:r>
    </w:p>
    <w:p>
      <w:pPr>
        <w:pStyle w:val="Heading1"/>
        <w:rPr/>
      </w:pPr>
      <w:r>
        <w:rPr/>
        <w:t>2. The first-wealth problem</w:t>
      </w:r>
    </w:p>
    <w:p>
      <w:pPr>
        <w:pStyle w:val="Normal"/>
        <w:rPr/>
      </w:pPr>
      <w:r>
        <w:rPr>
          <w:b/>
        </w:rPr>
        <w:t xml:space="preserve">The farming hinge created a new target. </w:t>
      </w:r>
      <w:r>
        <w:rPr/>
        <w:t>Before food concentration, calories were distributed across game, seasonal plants, nuts, and many remembered places. Once cereals, nuts, tools, vessels, people, ritual knowledge, and stored value gathered at a visible address, the group became worth raiding. The first-wealth problem is therefore not simply farming. It is the appearance of a stealable food-and-memory center.</w:t>
      </w:r>
    </w:p>
    <w:p>
      <w:pPr>
        <w:pStyle w:val="Normal"/>
        <w:rPr/>
      </w:pPr>
      <w:r>
        <w:rPr>
          <w:b/>
        </w:rPr>
        <w:t xml:space="preserve">The raider problem need not imply chronic war. </w:t>
      </w:r>
      <w:r>
        <w:rPr/>
        <w:t>A single bad winter, failed hunt, local drought, disease event, or broken exchange relation could turn a neighboring group from visitor or trading partner into a desperate attacker. That threat is episodic but existential: rare enough to leave little direct battle evidence, serious enough to shape access, storage, alliance, ritual warning, and architecture.</w:t>
      </w:r>
    </w:p>
    <w:p>
      <w:pPr>
        <w:pStyle w:val="Heading1"/>
        <w:rPr/>
      </w:pPr>
      <w:r>
        <w:rPr/>
        <w:t>3. Mechanism: convert outsiders before siege forms</w:t>
      </w:r>
    </w:p>
    <w:p>
      <w:pPr>
        <w:pStyle w:val="Normal"/>
        <w:rPr/>
      </w:pPr>
      <w:r>
        <w:rPr>
          <w:b/>
        </w:rPr>
        <w:t xml:space="preserve">Passive fortification alone is not the answer if waiting is the danger. </w:t>
      </w:r>
      <w:r>
        <w:rPr/>
        <w:t>A wall can teach an enemy to sit, watch, starve, and return at harvest. The deeper task is to shape what outsiders do before hostile behavior stabilizes into siege. A ceremonial gathering system can do this by assigning roles.</w:t>
      </w:r>
    </w:p>
    <w:p>
      <w:pPr>
        <w:pStyle w:val="ListBullet"/>
        <w:numPr>
          <w:ilvl w:val="0"/>
          <w:numId w:val="1"/>
        </w:numPr>
        <w:rPr/>
      </w:pPr>
      <w:r>
        <w:rPr/>
        <w:t>Visitor becomes guest through food, rhythm, obligation, and witness.</w:t>
      </w:r>
    </w:p>
    <w:p>
      <w:pPr>
        <w:pStyle w:val="ListBullet"/>
        <w:numPr>
          <w:ilvl w:val="0"/>
          <w:numId w:val="1"/>
        </w:numPr>
        <w:rPr/>
      </w:pPr>
      <w:r>
        <w:rPr/>
        <w:t>Rival becomes participant through contest, prestige, story, or exchange.</w:t>
      </w:r>
    </w:p>
    <w:p>
      <w:pPr>
        <w:pStyle w:val="ListBullet"/>
        <w:numPr>
          <w:ilvl w:val="0"/>
          <w:numId w:val="1"/>
        </w:numPr>
        <w:rPr/>
      </w:pPr>
      <w:r>
        <w:rPr/>
        <w:t>Hungry outsider becomes supplicant before becoming attacker.</w:t>
      </w:r>
    </w:p>
    <w:p>
      <w:pPr>
        <w:pStyle w:val="ListBullet"/>
        <w:numPr>
          <w:ilvl w:val="0"/>
          <w:numId w:val="1"/>
        </w:numPr>
        <w:rPr/>
      </w:pPr>
      <w:r>
        <w:rPr/>
        <w:t>Potential attacker becomes warned enemy through imagery, memory, and controlled approach.</w:t>
      </w:r>
    </w:p>
    <w:p>
      <w:pPr>
        <w:pStyle w:val="ListBullet"/>
        <w:numPr>
          <w:ilvl w:val="0"/>
          <w:numId w:val="1"/>
        </w:numPr>
        <w:rPr/>
      </w:pPr>
      <w:r>
        <w:rPr/>
        <w:t>Short-burst raider is forced into known routes instead of open-ended siege.</w:t>
      </w:r>
    </w:p>
    <w:p>
      <w:pPr>
        <w:pStyle w:val="Normal"/>
        <w:rPr/>
      </w:pPr>
      <w:r>
        <w:rPr>
          <w:b/>
        </w:rPr>
        <w:t xml:space="preserve">In this frame, the ritual system does not sit apart from survival. </w:t>
      </w:r>
      <w:r>
        <w:rPr/>
        <w:t>It is the operating layer by which food, dead, kin, animals, fear, debt, and reputation are arranged before violence becomes the only language left.</w:t>
      </w:r>
    </w:p>
    <w:p>
      <w:pPr>
        <w:pStyle w:val="Heading1"/>
        <w:rPr/>
      </w:pPr>
      <w:r>
        <w:rPr/>
        <w:t>4. Asymmetric learning and the memory weapon</w:t>
      </w:r>
    </w:p>
    <w:p>
      <w:pPr>
        <w:pStyle w:val="Normal"/>
        <w:rPr/>
      </w:pPr>
      <w:r>
        <w:rPr>
          <w:b/>
        </w:rPr>
        <w:t xml:space="preserve">The settled group has institutional memory. </w:t>
      </w:r>
      <w:r>
        <w:rPr/>
        <w:t>A small desperate raiding group often does not. If attackers perish, scatter, or starve after failure, outgroup tactical learning can slow or reset. The ridge group, by contrast, can revise approach control, stone placement, dogs, watch positions, stories, roof access, storage locations, and alliance practice. Each crisis improves the site. Many attackers arrive as one-off crisis packets.</w:t>
      </w:r>
    </w:p>
    <w:p>
      <w:pPr>
        <w:pStyle w:val="Normal"/>
        <w:rPr/>
      </w:pPr>
      <w:r>
        <w:rPr>
          <w:b/>
        </w:rPr>
        <w:t xml:space="preserve">The tactic need not be used often. </w:t>
      </w:r>
      <w:r>
        <w:rPr/>
        <w:t>One spectacular failed raid could create a warning tradition among neighboring groups. Once survivors or observers carry the account outward, and once the resident group ritually repeats or amplifies the event, the physical trap can become reputational deterrence. The stone may fall once; the story can keep falling for generations.</w:t>
      </w:r>
    </w:p>
    <w:p>
      <w:pPr>
        <w:pStyle w:val="Heading1"/>
        <w:rPr/>
      </w:pPr>
      <w:r>
        <w:rPr/>
        <w:t>5. Defensive affordances: two possible mechanisms</w:t>
      </w:r>
    </w:p>
    <w:p>
      <w:pPr>
        <w:pStyle w:val="IntenseQuote"/>
        <w:spacing w:before="80" w:after="160"/>
        <w:ind w:left="360" w:right="360"/>
        <w:rPr/>
      </w:pPr>
      <w:r>
        <w:rPr/>
        <w:t>These mechanisms are not claimed as demonstrated features. They are proposed as testable uses of architecture inside a broader ritual-social threat-management system.</w:t>
      </w:r>
    </w:p>
    <w:p>
      <w:pPr>
        <w:pStyle w:val="Heading2"/>
        <w:rPr/>
      </w:pPr>
      <w:r>
        <w:rPr/>
        <w:t>5.1 Released stone from height</w:t>
      </w:r>
    </w:p>
    <w:p>
      <w:pPr>
        <w:pStyle w:val="Normal"/>
        <w:rPr/>
      </w:pPr>
      <w:r>
        <w:rPr>
          <w:b/>
        </w:rPr>
        <w:t xml:space="preserve">This is the stronger mechanism. </w:t>
      </w:r>
      <w:r>
        <w:rPr/>
        <w:t>Raised platforms, wall tops, roof edges, terraces, or controlled higher ground could allow defenders to release limestone slabs, rubble, or timber-held stones into constrained approach zones. This would be a low-risk and decisive response against a small raiding party. It does not require the T-shaped pillar heads to be loose capstones. It requires pre-positioned stone, height, timing, and a route that attackers must enter.</w:t>
      </w:r>
    </w:p>
    <w:p>
      <w:pPr>
        <w:pStyle w:val="Normal"/>
        <w:rPr/>
      </w:pPr>
      <w:r>
        <w:rPr>
          <w:b/>
        </w:rPr>
        <w:t xml:space="preserve">Possible traces: </w:t>
      </w:r>
      <w:r>
        <w:rPr/>
        <w:t>impact zones, crushed bone in approach contexts, unusual slab distributions near thresholds, repair around access points, or projectile and rubble concentrations outside movement routes rather than inside the ceremonial core.</w:t>
      </w:r>
    </w:p>
    <w:p>
      <w:pPr>
        <w:pStyle w:val="Heading2"/>
        <w:rPr/>
      </w:pPr>
      <w:r>
        <w:rPr/>
        <w:t>5.2 Sacrificial roof or upper-surface trap</w:t>
      </w:r>
    </w:p>
    <w:p>
      <w:pPr>
        <w:pStyle w:val="Normal"/>
        <w:rPr/>
      </w:pPr>
      <w:r>
        <w:rPr>
          <w:b/>
        </w:rPr>
        <w:t xml:space="preserve">This is more speculative but behaviorally strong. </w:t>
      </w:r>
      <w:r>
        <w:rPr/>
        <w:t>If some buildings carried timber-supported upper surfaces, a weak or sacrificial section could interrupt attackers drawn onto it, drop or jam the first one or two people, stop momentum, and force the rest to re-route toward waiting defenders. Recent architectural discussions allow roofed or split-level possibilities, but ordinary collapse, decay, earthquake damage, and later fill processes remain rival explanations. [6, 7]</w:t>
      </w:r>
    </w:p>
    <w:p>
      <w:pPr>
        <w:pStyle w:val="Normal"/>
        <w:rPr/>
      </w:pPr>
      <w:r>
        <w:rPr>
          <w:b/>
        </w:rPr>
        <w:t xml:space="preserve">The model does not need repeated roof traps. </w:t>
      </w:r>
      <w:r>
        <w:rPr/>
        <w:t>The physical event may be rare. The lasting effect is the regional warning myth: this is the place where stone, roof, animal powers, ancestors, and defenders punish those who enter wrongly.</w:t>
      </w:r>
    </w:p>
    <w:p>
      <w:pPr>
        <w:pStyle w:val="Heading1"/>
        <w:rPr/>
      </w:pPr>
      <w:r>
        <w:rPr/>
        <w:t>6. Mortuary ecology, missing bodies, and crisis reversibility</w:t>
      </w:r>
    </w:p>
    <w:p>
      <w:pPr>
        <w:pStyle w:val="Normal"/>
        <w:rPr/>
      </w:pPr>
      <w:r>
        <w:rPr>
          <w:b/>
        </w:rPr>
        <w:t xml:space="preserve">The absence of a mass-death layer does not defeat the model. </w:t>
      </w:r>
      <w:r>
        <w:rPr/>
        <w:t>The model predicts prevention, dispersal, recovery, scavenging, ritual handling, and later fill disturbance more than battlefield deposits. A failed raid by five to twenty hungry outsiders could leave bodies removed, processed, scavenged, exposed, moved, or incorporated into later contexts. In a small-population setting, even one or two bodies matter socially and materially.</w:t>
      </w:r>
    </w:p>
    <w:p>
      <w:pPr>
        <w:pStyle w:val="Normal"/>
        <w:rPr/>
      </w:pPr>
      <w:r>
        <w:rPr>
          <w:b/>
        </w:rPr>
        <w:t xml:space="preserve">Human remains at Gobekli Tepe are fragmentary. </w:t>
      </w:r>
      <w:r>
        <w:rPr/>
        <w:t>Published work reports modified skull fragments and hundreds of scattered human bone fragments from fills and related contexts, while intact graves are absent at the core site. This supports death practice, secondary handling, and redeposition, not a simple cemetery model. It does not prove raids. It does show that bodies and body parts moved through the site in complex ways. [3, 4]</w:t>
      </w:r>
    </w:p>
    <w:p>
      <w:pPr>
        <w:pStyle w:val="Normal"/>
        <w:rPr/>
      </w:pPr>
      <w:r>
        <w:rPr>
          <w:b/>
        </w:rPr>
        <w:t xml:space="preserve">This paper uses the term conspecific consumption. </w:t>
      </w:r>
      <w:r>
        <w:rPr/>
        <w:t>It does not infer routine conspecific consumption. It treats rare emergency retrieval, scavenger interaction, predator baiting, secondary handling, and taboo-protected storage as possible crisis roles within a seasonal scarcity ecology. Modern categories such as crime, desecration, property, and acceptable food are poor starting assumptions for early Holocene survival systems, although sensitivity is essential in output materials.</w:t>
      </w:r>
    </w:p>
    <w:p>
      <w:pPr>
        <w:pStyle w:val="Normal"/>
        <w:rPr/>
      </w:pPr>
      <w:r>
        <w:rPr>
          <w:b/>
        </w:rPr>
        <w:t xml:space="preserve">A grave may be a sealed social object rather than a one-way mortuary act. </w:t>
      </w:r>
      <w:r>
        <w:rPr/>
        <w:t>In severe scarcity, a remembered burial place might preserve tools, ornaments, skins, body material, scent, or food traces under taboo. The same sealed smell could attract scavengers or large predators. If only coordinated humans can move the closure stone, then the burial can operate as protected cache, memory address, taboo lock, and possible bait station. This is a survival-logic extension, not a site-proven claim.</w:t>
      </w:r>
    </w:p>
    <w:p>
      <w:pPr>
        <w:pStyle w:val="Normal"/>
        <w:rPr/>
      </w:pPr>
      <w:r>
        <w:rPr>
          <w:b/>
        </w:rPr>
        <w:t xml:space="preserve">Suid and scavenger effects matter. </w:t>
      </w:r>
      <w:r>
        <w:rPr/>
        <w:t>At Gobekli Tepe the relevant animal is wild boar, not domestic pig. Studies of pig bone consumption show that suids can destroy or alter smaller bones and cancellous fragments, which means already-broken marrow bones, teeth, small fragments, and disturbed remains may be biased toward absence, displacement, or ambiguity. [8]</w:t>
      </w:r>
    </w:p>
    <w:p>
      <w:pPr>
        <w:pStyle w:val="Heading1"/>
        <w:rPr/>
      </w:pPr>
      <w:r>
        <w:rPr/>
        <w:t>7. Evidence status in 2026</w:t>
      </w:r>
    </w:p>
    <w:tbl>
      <w:tblPr>
        <w:tblStyle w:val="TableGrid"/>
        <w:tblW w:w="10080" w:type="dxa"/>
        <w:jc w:val="center"/>
        <w:tblInd w:w="0" w:type="dxa"/>
        <w:tblLayout w:type="fixed"/>
        <w:tblCellMar>
          <w:top w:w="80" w:type="dxa"/>
          <w:left w:w="80" w:type="dxa"/>
          <w:bottom w:w="80" w:type="dxa"/>
          <w:right w:w="80" w:type="dxa"/>
        </w:tblCellMar>
        <w:tblLook w:val="04a0" w:noHBand="0" w:noVBand="1" w:firstColumn="1" w:lastRow="0" w:lastColumn="0" w:firstRow="1"/>
      </w:tblPr>
      <w:tblGrid>
        <w:gridCol w:w="3360"/>
        <w:gridCol w:w="3360"/>
        <w:gridCol w:w="3360"/>
      </w:tblGrid>
      <w:tr>
        <w:trPr/>
        <w:tc>
          <w:tcPr>
            <w:tcW w:w="3360" w:type="dxa"/>
            <w:tcBorders/>
            <w:shd w:fill="E2F0D9"/>
          </w:tcPr>
          <w:p>
            <w:pPr>
              <w:pStyle w:val="Normal"/>
              <w:widowControl/>
              <w:spacing w:lineRule="auto" w:line="240" w:before="0" w:after="0"/>
              <w:jc w:val="left"/>
              <w:rPr>
                <w:rFonts w:cs=""/>
                <w:kern w:val="0"/>
                <w:szCs w:val="22"/>
                <w:lang w:val="en-US" w:eastAsia="en-US" w:bidi="ar-SA"/>
              </w:rPr>
            </w:pPr>
            <w:r>
              <w:rPr>
                <w:rFonts w:cs=""/>
                <w:b/>
                <w:kern w:val="0"/>
                <w:sz w:val="18"/>
                <w:szCs w:val="22"/>
                <w:lang w:val="en-US" w:eastAsia="en-US" w:bidi="ar-SA"/>
              </w:rPr>
              <w:t>Evidence stream</w:t>
            </w:r>
          </w:p>
        </w:tc>
        <w:tc>
          <w:tcPr>
            <w:tcW w:w="3360" w:type="dxa"/>
            <w:tcBorders/>
            <w:shd w:fill="E2F0D9"/>
          </w:tcPr>
          <w:p>
            <w:pPr>
              <w:pStyle w:val="Normal"/>
              <w:widowControl/>
              <w:spacing w:lineRule="auto" w:line="240" w:before="0" w:after="0"/>
              <w:jc w:val="left"/>
              <w:rPr>
                <w:rFonts w:cs=""/>
                <w:kern w:val="0"/>
                <w:szCs w:val="22"/>
                <w:lang w:val="en-US" w:eastAsia="en-US" w:bidi="ar-SA"/>
              </w:rPr>
            </w:pPr>
            <w:r>
              <w:rPr>
                <w:rFonts w:cs=""/>
                <w:b/>
                <w:kern w:val="0"/>
                <w:sz w:val="18"/>
                <w:szCs w:val="22"/>
                <w:lang w:val="en-US" w:eastAsia="en-US" w:bidi="ar-SA"/>
              </w:rPr>
              <w:t>Supports primary model</w:t>
            </w:r>
          </w:p>
        </w:tc>
        <w:tc>
          <w:tcPr>
            <w:tcW w:w="3360" w:type="dxa"/>
            <w:tcBorders/>
            <w:shd w:fill="E2F0D9"/>
          </w:tcPr>
          <w:p>
            <w:pPr>
              <w:pStyle w:val="Normal"/>
              <w:widowControl/>
              <w:spacing w:lineRule="auto" w:line="240" w:before="0" w:after="0"/>
              <w:jc w:val="left"/>
              <w:rPr>
                <w:rFonts w:cs=""/>
                <w:kern w:val="0"/>
                <w:szCs w:val="22"/>
                <w:lang w:val="en-US" w:eastAsia="en-US" w:bidi="ar-SA"/>
              </w:rPr>
            </w:pPr>
            <w:r>
              <w:rPr>
                <w:rFonts w:cs=""/>
                <w:b/>
                <w:kern w:val="0"/>
                <w:sz w:val="18"/>
                <w:szCs w:val="22"/>
                <w:lang w:val="en-US" w:eastAsia="en-US" w:bidi="ar-SA"/>
              </w:rPr>
              <w:t>Relevance to added layer</w:t>
            </w:r>
          </w:p>
        </w:tc>
      </w:tr>
      <w:tr>
        <w:trPr/>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UNESCO site frame</w:t>
            </w:r>
          </w:p>
        </w:tc>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Monumental ritual buildings with wild animal imagery, dated 9600 to 8200 BCE.</w:t>
            </w:r>
          </w:p>
        </w:tc>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Sets the high-visibility ceremonial system in the correct period. [1]</w:t>
            </w:r>
          </w:p>
        </w:tc>
      </w:tr>
      <w:tr>
        <w:trPr/>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Cereal processing</w:t>
            </w:r>
          </w:p>
        </w:tc>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Large-scale plant processing and feasting capacity.</w:t>
            </w:r>
          </w:p>
        </w:tc>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Stored or prepared calories create first-wealth risk. [2]</w:t>
            </w:r>
          </w:p>
        </w:tc>
      </w:tr>
      <w:tr>
        <w:trPr/>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Skull practice</w:t>
            </w:r>
          </w:p>
        </w:tc>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Death practice, memory, and identity display.</w:t>
            </w:r>
          </w:p>
        </w:tc>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Death handling may also support warning, taboo, and crisis memory. [3, 4]</w:t>
            </w:r>
          </w:p>
        </w:tc>
      </w:tr>
      <w:tr>
        <w:trPr/>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Tas Tepeler finds</w:t>
            </w:r>
          </w:p>
        </w:tc>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Regional ritual-symbolic landscape with statues, vessels, beads, animal figures, and death-linked imagery.</w:t>
            </w:r>
          </w:p>
        </w:tc>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Threat management must sit inside a larger social-ritual network. [5]</w:t>
            </w:r>
          </w:p>
        </w:tc>
      </w:tr>
      <w:tr>
        <w:trPr/>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Kortik Tepe violence</w:t>
            </w:r>
          </w:p>
        </w:tc>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Interpersonal violence and homicide without firm warfare evidence.</w:t>
            </w:r>
          </w:p>
        </w:tc>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Fits social heat and conflict mitigation, not formal war. [9]</w:t>
            </w:r>
          </w:p>
        </w:tc>
      </w:tr>
      <w:tr>
        <w:trPr/>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Architecture</w:t>
            </w:r>
          </w:p>
        </w:tc>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Roofed, split-level, rebuilt, and rock-slope possibilities remain under study.</w:t>
            </w:r>
          </w:p>
        </w:tc>
        <w:tc>
          <w:tcPr>
            <w:tcW w:w="3360" w:type="dxa"/>
            <w:tcBorders/>
          </w:tcPr>
          <w:p>
            <w:pPr>
              <w:pStyle w:val="Normal"/>
              <w:widowControl/>
              <w:spacing w:lineRule="auto" w:line="240" w:before="0" w:after="0"/>
              <w:jc w:val="left"/>
              <w:rPr>
                <w:rFonts w:cs=""/>
                <w:kern w:val="0"/>
                <w:szCs w:val="22"/>
                <w:lang w:val="en-US" w:eastAsia="en-US" w:bidi="ar-SA"/>
              </w:rPr>
            </w:pPr>
            <w:r>
              <w:rPr>
                <w:rFonts w:cs=""/>
                <w:b w:val="false"/>
                <w:kern w:val="0"/>
                <w:sz w:val="18"/>
                <w:szCs w:val="22"/>
                <w:lang w:val="en-US" w:eastAsia="en-US" w:bidi="ar-SA"/>
              </w:rPr>
              <w:t>Gives possible tactical affordances, but not proof. [6, 7]</w:t>
            </w:r>
          </w:p>
        </w:tc>
      </w:tr>
    </w:tbl>
    <w:p>
      <w:pPr>
        <w:pStyle w:val="Heading1"/>
        <w:rPr/>
      </w:pPr>
      <w:r>
        <w:rPr/>
        <w:t>8. Remaining gaps</w:t>
      </w:r>
    </w:p>
    <w:p>
      <w:pPr>
        <w:pStyle w:val="ListBullet"/>
        <w:numPr>
          <w:ilvl w:val="0"/>
          <w:numId w:val="1"/>
        </w:numPr>
        <w:rPr/>
      </w:pPr>
      <w:r>
        <w:rPr/>
        <w:t>No published raid layer at the core site.</w:t>
      </w:r>
    </w:p>
    <w:p>
      <w:pPr>
        <w:pStyle w:val="ListBullet"/>
        <w:numPr>
          <w:ilvl w:val="0"/>
          <w:numId w:val="1"/>
        </w:numPr>
        <w:rPr/>
      </w:pPr>
      <w:r>
        <w:rPr/>
        <w:t>No demonstrated siege damage pattern.</w:t>
      </w:r>
    </w:p>
    <w:p>
      <w:pPr>
        <w:pStyle w:val="ListBullet"/>
        <w:numPr>
          <w:ilvl w:val="0"/>
          <w:numId w:val="1"/>
        </w:numPr>
        <w:rPr/>
      </w:pPr>
      <w:r>
        <w:rPr/>
        <w:t>No weapon cache proving defensive use.</w:t>
      </w:r>
    </w:p>
    <w:p>
      <w:pPr>
        <w:pStyle w:val="ListBullet"/>
        <w:numPr>
          <w:ilvl w:val="0"/>
          <w:numId w:val="1"/>
        </w:numPr>
        <w:rPr/>
      </w:pPr>
      <w:r>
        <w:rPr/>
        <w:t>No core trauma cluster linking violence to the enclosures.</w:t>
      </w:r>
    </w:p>
    <w:p>
      <w:pPr>
        <w:pStyle w:val="ListBullet"/>
        <w:numPr>
          <w:ilvl w:val="0"/>
          <w:numId w:val="1"/>
        </w:numPr>
        <w:rPr/>
      </w:pPr>
      <w:r>
        <w:rPr/>
        <w:t>No demonstrated entry-control reconstruction for timber additions.</w:t>
      </w:r>
    </w:p>
    <w:p>
      <w:pPr>
        <w:pStyle w:val="ListBullet"/>
        <w:numPr>
          <w:ilvl w:val="0"/>
          <w:numId w:val="1"/>
        </w:numPr>
        <w:rPr/>
      </w:pPr>
      <w:r>
        <w:rPr/>
        <w:t>No firm proof that roof or stone-release mechanisms were used tactically.</w:t>
      </w:r>
    </w:p>
    <w:p>
      <w:pPr>
        <w:pStyle w:val="ListBullet"/>
        <w:numPr>
          <w:ilvl w:val="0"/>
          <w:numId w:val="1"/>
        </w:numPr>
        <w:rPr/>
      </w:pPr>
      <w:r>
        <w:rPr/>
        <w:t>Regional intergroup-raiding proxies remain thin.</w:t>
      </w:r>
    </w:p>
    <w:p>
      <w:pPr>
        <w:pStyle w:val="Normal"/>
        <w:rPr/>
      </w:pPr>
      <w:r>
        <w:rPr>
          <w:b/>
        </w:rPr>
        <w:t xml:space="preserve">These gaps limit rank. </w:t>
      </w:r>
      <w:r>
        <w:rPr/>
        <w:t>They do not kill compatibility. The hypothesis should remain supplementary unless future work finds stronger conflict, access, visitor, or repair signals.</w:t>
      </w:r>
    </w:p>
    <w:p>
      <w:pPr>
        <w:pStyle w:val="Heading1"/>
        <w:rPr/>
      </w:pPr>
      <w:r>
        <w:rPr/>
        <w:t>9. Testable predictions</w:t>
      </w:r>
    </w:p>
    <w:p>
      <w:pPr>
        <w:pStyle w:val="ListBullet"/>
        <w:numPr>
          <w:ilvl w:val="0"/>
          <w:numId w:val="1"/>
        </w:numPr>
        <w:rPr/>
      </w:pPr>
      <w:r>
        <w:rPr/>
        <w:t>Access-zone repair or rebuilding that clusters around movement routes.</w:t>
      </w:r>
    </w:p>
    <w:p>
      <w:pPr>
        <w:pStyle w:val="ListBullet"/>
        <w:numPr>
          <w:ilvl w:val="0"/>
          <w:numId w:val="1"/>
        </w:numPr>
        <w:rPr/>
      </w:pPr>
      <w:r>
        <w:rPr/>
        <w:t>Threshold patterning that affects how visitors enter, pause, turn, or become visible.</w:t>
      </w:r>
    </w:p>
    <w:p>
      <w:pPr>
        <w:pStyle w:val="ListBullet"/>
        <w:numPr>
          <w:ilvl w:val="0"/>
          <w:numId w:val="1"/>
        </w:numPr>
        <w:rPr/>
      </w:pPr>
      <w:r>
        <w:rPr/>
        <w:t>Projectile, rubble, or impact concentrations in approach areas, not necessarily inside the core.</w:t>
      </w:r>
    </w:p>
    <w:p>
      <w:pPr>
        <w:pStyle w:val="ListBullet"/>
        <w:numPr>
          <w:ilvl w:val="0"/>
          <w:numId w:val="1"/>
        </w:numPr>
        <w:rPr/>
      </w:pPr>
      <w:r>
        <w:rPr/>
        <w:t>Visibility asymmetry between insiders and outsiders, especially with timber reconstruction.</w:t>
      </w:r>
    </w:p>
    <w:p>
      <w:pPr>
        <w:pStyle w:val="ListBullet"/>
        <w:numPr>
          <w:ilvl w:val="0"/>
          <w:numId w:val="1"/>
        </w:numPr>
        <w:rPr/>
      </w:pPr>
      <w:r>
        <w:rPr/>
        <w:t>Visitor signatures in food waste, lithics, isotopes, ornaments, or non-local material.</w:t>
      </w:r>
    </w:p>
    <w:p>
      <w:pPr>
        <w:pStyle w:val="ListBullet"/>
        <w:numPr>
          <w:ilvl w:val="0"/>
          <w:numId w:val="1"/>
        </w:numPr>
        <w:rPr/>
      </w:pPr>
      <w:r>
        <w:rPr/>
        <w:t>Deposits timed to closure, repair, crisis, or re-opening rather than ordinary abandonment.</w:t>
      </w:r>
    </w:p>
    <w:p>
      <w:pPr>
        <w:pStyle w:val="ListBullet"/>
        <w:numPr>
          <w:ilvl w:val="0"/>
          <w:numId w:val="1"/>
        </w:numPr>
        <w:rPr/>
      </w:pPr>
      <w:r>
        <w:rPr/>
        <w:t>Isolated teeth, skull fragments, cut marks, animal damage, and redeposited human bone rather than intact graves.</w:t>
      </w:r>
    </w:p>
    <w:p>
      <w:pPr>
        <w:pStyle w:val="ListBullet"/>
        <w:numPr>
          <w:ilvl w:val="0"/>
          <w:numId w:val="1"/>
        </w:numPr>
        <w:rPr/>
      </w:pPr>
      <w:r>
        <w:rPr/>
        <w:t>Evidence that symbolic imagery is placed where it would confront or sequence visitor movement.</w:t>
      </w:r>
    </w:p>
    <w:p>
      <w:pPr>
        <w:pStyle w:val="ListBullet"/>
        <w:numPr>
          <w:ilvl w:val="0"/>
          <w:numId w:val="1"/>
        </w:numPr>
        <w:rPr/>
      </w:pPr>
      <w:r>
        <w:rPr/>
        <w:t>Regional patterns of hunger stress, interpersonal violence, or failed exchange around early food concentration.</w:t>
      </w:r>
    </w:p>
    <w:p>
      <w:pPr>
        <w:pStyle w:val="Heading1"/>
        <w:rPr/>
      </w:pPr>
      <w:r>
        <w:rPr/>
        <w:t>10. What would weaken or falsify the layer</w:t>
      </w:r>
    </w:p>
    <w:p>
      <w:pPr>
        <w:pStyle w:val="ListBullet"/>
        <w:numPr>
          <w:ilvl w:val="0"/>
          <w:numId w:val="1"/>
        </w:numPr>
        <w:rPr/>
      </w:pPr>
      <w:r>
        <w:rPr/>
        <w:t>Reliable reconstruction showing no meaningful control of entry, height, visibility, or movement.</w:t>
      </w:r>
    </w:p>
    <w:p>
      <w:pPr>
        <w:pStyle w:val="ListBullet"/>
        <w:numPr>
          <w:ilvl w:val="0"/>
          <w:numId w:val="1"/>
        </w:numPr>
        <w:rPr/>
      </w:pPr>
      <w:r>
        <w:rPr/>
        <w:t>Evidence that food processing and storage were too low-scale to create a realistic seasonal prize.</w:t>
      </w:r>
    </w:p>
    <w:p>
      <w:pPr>
        <w:pStyle w:val="ListBullet"/>
        <w:numPr>
          <w:ilvl w:val="0"/>
          <w:numId w:val="1"/>
        </w:numPr>
        <w:rPr/>
      </w:pPr>
      <w:r>
        <w:rPr/>
        <w:t>Regional data showing little or no violence, stress, mobility conflict, or predation pressure in the relevant horizon.</w:t>
      </w:r>
    </w:p>
    <w:p>
      <w:pPr>
        <w:pStyle w:val="ListBullet"/>
        <w:numPr>
          <w:ilvl w:val="0"/>
          <w:numId w:val="1"/>
        </w:numPr>
        <w:rPr/>
      </w:pPr>
      <w:r>
        <w:rPr/>
        <w:t>Taphonomic work showing that scattered human remains are fully explained by unrelated later disturbance.</w:t>
      </w:r>
    </w:p>
    <w:p>
      <w:pPr>
        <w:pStyle w:val="ListBullet"/>
        <w:numPr>
          <w:ilvl w:val="0"/>
          <w:numId w:val="1"/>
        </w:numPr>
        <w:rPr/>
      </w:pPr>
      <w:r>
        <w:rPr/>
        <w:t>Excavation patterns showing no repair, access stress, projectile loss, or visitor differentiation near likely routes.</w:t>
      </w:r>
    </w:p>
    <w:p>
      <w:pPr>
        <w:pStyle w:val="ListBullet"/>
        <w:numPr>
          <w:ilvl w:val="0"/>
          <w:numId w:val="1"/>
        </w:numPr>
        <w:rPr/>
      </w:pPr>
      <w:r>
        <w:rPr/>
        <w:t>A stronger model that explains the same mixed ritual, food, death, and visibility pattern without threat-management value.</w:t>
      </w:r>
    </w:p>
    <w:p>
      <w:pPr>
        <w:pStyle w:val="Heading1"/>
        <w:rPr/>
      </w:pPr>
      <w:r>
        <w:rPr/>
        <w:t>11. Language note for public output</w:t>
      </w:r>
    </w:p>
    <w:p>
      <w:pPr>
        <w:pStyle w:val="Normal"/>
        <w:rPr/>
      </w:pPr>
      <w:r>
        <w:rPr>
          <w:b/>
        </w:rPr>
        <w:t>The paper should avoid lurid language.</w:t>
        <w:br/>
      </w:r>
      <w:r>
        <w:rPr/>
        <w:t>Use "threat management" rather than "military purpose" unless direct evidence appears.</w:t>
        <w:br/>
        <w:t>Use "Raider Trap Layer" as the sharp working nickname, not as a settled label for the whole site.</w:t>
      </w:r>
    </w:p>
    <w:p>
      <w:pPr>
        <w:pStyle w:val="Heading1"/>
        <w:rPr/>
      </w:pPr>
      <w:r>
        <w:rPr/>
        <w:t>Conclusion</w:t>
      </w:r>
    </w:p>
    <w:p>
      <w:pPr>
        <w:pStyle w:val="Normal"/>
        <w:rPr/>
      </w:pPr>
      <w:r>
        <w:rPr>
          <w:b/>
        </w:rPr>
        <w:t xml:space="preserve">Primary model: </w:t>
      </w:r>
      <w:r>
        <w:rPr/>
        <w:t>ceremonial gathering, feasting, death practice, social identity, and regional symbolic network.</w:t>
      </w:r>
    </w:p>
    <w:p>
      <w:pPr>
        <w:pStyle w:val="Normal"/>
        <w:rPr/>
      </w:pPr>
      <w:r>
        <w:rPr>
          <w:b/>
        </w:rPr>
        <w:t xml:space="preserve">Added layer: </w:t>
      </w:r>
      <w:r>
        <w:rPr/>
        <w:t>threat management during the early formation of fixed wealth, food concentration, labor concentration, and regional visibility.</w:t>
      </w:r>
    </w:p>
    <w:p>
      <w:pPr>
        <w:pStyle w:val="Normal"/>
        <w:rPr/>
      </w:pPr>
      <w:r>
        <w:rPr>
          <w:b/>
        </w:rPr>
        <w:t xml:space="preserve">Sub-mechanism: </w:t>
      </w:r>
      <w:r>
        <w:rPr/>
        <w:t>outsiders are made safer by becoming guests, witnesses, rivals, allies, affines, supplicants, trading partners, or failed short-raid actors before siege behavior forms.</w:t>
      </w:r>
    </w:p>
    <w:p>
      <w:pPr>
        <w:pStyle w:val="Normal"/>
        <w:rPr/>
      </w:pPr>
      <w:r>
        <w:rPr>
          <w:b/>
        </w:rPr>
        <w:t xml:space="preserve">Final formulation: </w:t>
      </w:r>
      <w:r>
        <w:rPr/>
        <w:t>Gobekli Tepe may show how ritual systems managed the first dangerous concentration of food, labor, memory, dead, and visibility. The Raider Trap Layer is not a replacement for the ceremonial model. It is a behavioral ecology patch inside it.</w:t>
      </w:r>
    </w:p>
    <w:p>
      <w:pPr>
        <w:pStyle w:val="Heading1"/>
        <w:rPr/>
      </w:pPr>
      <w:r>
        <w:rPr/>
        <w:t>References and source anchors</w:t>
      </w:r>
    </w:p>
    <w:p>
      <w:pPr>
        <w:pStyle w:val="Normal"/>
        <w:spacing w:before="0" w:after="60"/>
        <w:rPr/>
      </w:pPr>
      <w:r>
        <w:rPr/>
        <w:t xml:space="preserve">[1] UNESCO World Heritage Centre. Gobekli Tepe. Dating, setting, pillars, and ritual framing. </w:t>
      </w:r>
      <w:hyperlink r:id="rId2">
        <w:r>
          <w:rPr>
            <w:rStyle w:val="Style"/>
            <w:color w:val="0563C1"/>
            <w:u w:val="single"/>
          </w:rPr>
          <w:t>https://whc.unesco.org/en/list/1572/</w:t>
        </w:r>
      </w:hyperlink>
    </w:p>
    <w:p>
      <w:pPr>
        <w:pStyle w:val="Normal"/>
        <w:spacing w:before="0" w:after="60"/>
        <w:rPr/>
      </w:pPr>
      <w:r>
        <w:rPr/>
        <w:t xml:space="preserve">[2] German Archaeological Institute, The Tepe Telegrams. Cereals, feasts and monuments at Gobekli Tepe. </w:t>
      </w:r>
      <w:hyperlink r:id="rId3">
        <w:r>
          <w:rPr>
            <w:rStyle w:val="Style"/>
            <w:color w:val="0563C1"/>
            <w:u w:val="single"/>
          </w:rPr>
          <w:t>https://www.dainst.blog/the-tepe-telegrams/2019/05/09/cereals-feasts-and-monuments-at-gobekli-tepe/</w:t>
        </w:r>
      </w:hyperlink>
    </w:p>
    <w:p>
      <w:pPr>
        <w:pStyle w:val="Normal"/>
        <w:spacing w:before="0" w:after="60"/>
        <w:rPr/>
      </w:pPr>
      <w:r>
        <w:rPr/>
        <w:t xml:space="preserve">[3] Gresky et al. 2017. Modified human crania from Gobekli Tepe provide evidence for a new form of Neolithic skull practice. Science Advances. </w:t>
      </w:r>
      <w:hyperlink r:id="rId4">
        <w:r>
          <w:rPr>
            <w:rStyle w:val="Style"/>
            <w:color w:val="0563C1"/>
            <w:u w:val="single"/>
          </w:rPr>
          <w:t>https://www.science.org/doi/10.1126/sciadv.1700564</w:t>
        </w:r>
      </w:hyperlink>
    </w:p>
    <w:p>
      <w:pPr>
        <w:pStyle w:val="Normal"/>
        <w:spacing w:before="0" w:after="60"/>
        <w:rPr/>
      </w:pPr>
      <w:r>
        <w:rPr/>
        <w:t xml:space="preserve">[4] German Archaeological Institute, The Tepe Telegrams. Evidence for skull practice at Gobekli Tepe. </w:t>
      </w:r>
      <w:hyperlink r:id="rId5">
        <w:r>
          <w:rPr>
            <w:rStyle w:val="Style"/>
            <w:color w:val="0563C1"/>
            <w:u w:val="single"/>
          </w:rPr>
          <w:t>https://www.dainst.blog/the-tepe-telegrams/2017/06/28/new-publication-in-science-advances-evidence-for-skull-cult-at-gobekli-tepe/</w:t>
        </w:r>
      </w:hyperlink>
    </w:p>
    <w:p>
      <w:pPr>
        <w:pStyle w:val="Normal"/>
        <w:spacing w:before="0" w:after="60"/>
        <w:rPr/>
      </w:pPr>
      <w:r>
        <w:rPr/>
        <w:t xml:space="preserve">[5] Reuters. 2025. New finds in Turkey's southeast add to picture of Neolithic age. </w:t>
      </w:r>
      <w:hyperlink r:id="rId6">
        <w:r>
          <w:rPr>
            <w:rStyle w:val="Style"/>
            <w:color w:val="0563C1"/>
            <w:u w:val="single"/>
          </w:rPr>
          <w:t>https://www.reuters.com/science/new-finds-turkeys-southeast-add-picture-neolithic-age-2025-11-26/</w:t>
        </w:r>
      </w:hyperlink>
    </w:p>
    <w:p>
      <w:pPr>
        <w:pStyle w:val="Normal"/>
        <w:spacing w:before="0" w:after="60"/>
        <w:rPr/>
      </w:pPr>
      <w:r>
        <w:rPr/>
        <w:t xml:space="preserve">[6] Kinzel, Sonmez and colleagues. Built on Rock: reconstruction of the Neolithic topography of Gobekli Tepe. DAI publications. </w:t>
      </w:r>
      <w:hyperlink r:id="rId7">
        <w:r>
          <w:rPr>
            <w:rStyle w:val="Style"/>
            <w:color w:val="0563C1"/>
            <w:u w:val="single"/>
          </w:rPr>
          <w:t>https://publications.dainst.org/journals/istmitt/article/view/4708/8479</w:t>
        </w:r>
      </w:hyperlink>
    </w:p>
    <w:p>
      <w:pPr>
        <w:pStyle w:val="Normal"/>
        <w:spacing w:before="0" w:after="60"/>
        <w:rPr/>
      </w:pPr>
      <w:r>
        <w:rPr/>
        <w:t xml:space="preserve">[7] Kinzel et al. 2024. Shaking up the Neolithic: tracing seismic impact at Gobekli Tepe. Journal of Archaeological Science: Reports. </w:t>
      </w:r>
      <w:hyperlink r:id="rId8">
        <w:r>
          <w:rPr>
            <w:rStyle w:val="Style"/>
            <w:color w:val="0563C1"/>
            <w:u w:val="single"/>
          </w:rPr>
          <w:t>https://www.sciencedirect.com/science/article/pii/S2352226724000618</w:t>
        </w:r>
      </w:hyperlink>
    </w:p>
    <w:p>
      <w:pPr>
        <w:pStyle w:val="Normal"/>
        <w:spacing w:before="0" w:after="60"/>
        <w:rPr/>
      </w:pPr>
      <w:r>
        <w:rPr/>
        <w:t xml:space="preserve">[8] Greenfield 1988. Bone consumption by pigs in a contemporary Serbian village. Journal of Field Archaeology. </w:t>
      </w:r>
      <w:hyperlink r:id="rId9">
        <w:r>
          <w:rPr>
            <w:rStyle w:val="Style"/>
            <w:color w:val="0563C1"/>
            <w:u w:val="single"/>
          </w:rPr>
          <w:t>https://www.tandfonline.com/doi/abs/10.1179/jfa.1988.15.4.473</w:t>
        </w:r>
      </w:hyperlink>
    </w:p>
    <w:p>
      <w:pPr>
        <w:pStyle w:val="Normal"/>
        <w:spacing w:before="0" w:after="60"/>
        <w:rPr/>
      </w:pPr>
      <w:r>
        <w:rPr/>
        <w:t xml:space="preserve">[9] German Archaeological Institute, The Tepe Telegrams. Ritual practices and conflict mitigation at early Neolithic Kortik Tepe and Gobekli Tepe. </w:t>
      </w:r>
      <w:hyperlink r:id="rId10">
        <w:r>
          <w:rPr>
            <w:rStyle w:val="Style"/>
            <w:color w:val="0563C1"/>
            <w:u w:val="single"/>
          </w:rPr>
          <w:t>https://www.dainst.blog/the-tepe-telegrams/2019/03/12/new-publication-ritual-practices-and-conflict-mitigation-at-early-neolithic-kortik-tepe-and-gobekli-tepe/</w:t>
        </w:r>
      </w:hyperlink>
    </w:p>
    <w:p>
      <w:pPr>
        <w:pStyle w:val="Normal"/>
        <w:spacing w:before="0" w:after="60"/>
        <w:rPr/>
      </w:pPr>
      <w:r>
        <w:rPr/>
        <w:t xml:space="preserve">[10] Cole 2017. Calorific significance study for human body value in Palaeolithic contexts. Scientific Reports. </w:t>
      </w:r>
      <w:hyperlink r:id="rId11">
        <w:r>
          <w:rPr>
            <w:rStyle w:val="Style"/>
            <w:color w:val="0563C1"/>
            <w:u w:val="single"/>
          </w:rPr>
          <w:t>https://www.nature.com/articles/srep44707</w:t>
        </w:r>
      </w:hyperlink>
    </w:p>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080" w:right="1080"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Working paper draft. Hypothesis layer, not settled interpretation.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Working paper draft. Hypothesis layer, not settled interpretation.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46464"/>
        <w:sz w:val="16"/>
      </w:rPr>
      <w:t>Gobekli Tepe and the First-Wealth Problem | v0.4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46464"/>
        <w:sz w:val="16"/>
      </w:rPr>
      <w:t>Gobekli Tepe and the First-Wealth Problem | v0.4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80"/>
      <w:outlineLvl w:val="0"/>
    </w:pPr>
    <w:rPr>
      <w:rFonts w:ascii="Calibri" w:hAnsi="Calibri" w:eastAsia="ＭＳ ゴシック"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160" w:after="60"/>
      <w:outlineLvl w:val="1"/>
    </w:pPr>
    <w:rPr>
      <w:rFonts w:ascii="Calibri" w:hAnsi="Calibri" w:eastAsia="ＭＳ ゴシック" w:cs="" w:asciiTheme="majorHAnsi" w:cstheme="majorBidi" w:eastAsiaTheme="majorEastAsia" w:hAnsiTheme="majorHAnsi"/>
      <w:b/>
      <w:bCs/>
      <w:color w:themeColor="accent1" w:val="4F81BD"/>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373737"/>
      <w:sz w:val="21"/>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hc.unesco.org/en/list/1572/" TargetMode="External"/><Relationship Id="rId3" Type="http://schemas.openxmlformats.org/officeDocument/2006/relationships/hyperlink" Target="https://www.dainst.blog/the-tepe-telegrams/2019/05/09/cereals-feasts-and-monuments-at-gobekli-tepe/" TargetMode="External"/><Relationship Id="rId4" Type="http://schemas.openxmlformats.org/officeDocument/2006/relationships/hyperlink" Target="https://www.science.org/doi/10.1126/sciadv.1700564" TargetMode="External"/><Relationship Id="rId5" Type="http://schemas.openxmlformats.org/officeDocument/2006/relationships/hyperlink" Target="https://www.dainst.blog/the-tepe-telegrams/2017/06/28/new-publication-in-science-advances-evidence-for-skull-cult-at-gobekli-tepe/" TargetMode="External"/><Relationship Id="rId6" Type="http://schemas.openxmlformats.org/officeDocument/2006/relationships/hyperlink" Target="https://www.reuters.com/science/new-finds-turkeys-southeast-add-picture-neolithic-age-2025-11-26/" TargetMode="External"/><Relationship Id="rId7" Type="http://schemas.openxmlformats.org/officeDocument/2006/relationships/hyperlink" Target="https://publications.dainst.org/journals/istmitt/article/view/4708/8479" TargetMode="External"/><Relationship Id="rId8" Type="http://schemas.openxmlformats.org/officeDocument/2006/relationships/hyperlink" Target="https://www.sciencedirect.com/science/article/pii/S2352226724000618" TargetMode="External"/><Relationship Id="rId9" Type="http://schemas.openxmlformats.org/officeDocument/2006/relationships/hyperlink" Target="https://www.tandfonline.com/doi/abs/10.1179/jfa.1988.15.4.473" TargetMode="External"/><Relationship Id="rId10" Type="http://schemas.openxmlformats.org/officeDocument/2006/relationships/hyperlink" Target="https://www.dainst.blog/the-tepe-telegrams/2019/03/12/new-publication-ritual-practices-and-conflict-mitigation-at-early-neolithic-kortik-tepe-and-gobekli-tepe/" TargetMode="External"/><Relationship Id="rId11" Type="http://schemas.openxmlformats.org/officeDocument/2006/relationships/hyperlink" Target="https://www.nature.com/articles/srep44707"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LibreOffice/25.2.3.2$Linux_X86_64 LibreOffice_project/520$Build-2</Application>
  <AppVersion>15.0000</AppVersion>
  <Pages>6</Pages>
  <Words>2156</Words>
  <Characters>13489</Characters>
  <CharactersWithSpaces>15500</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Dream Disorder and ChatGPT</dc:creator>
  <dc:description>Generated working paper draft v0.4.</dc:description>
  <cp:keywords>Gobekli Tepe Tas Tepeler first-wealth problem threat management ritual raider-risk</cp:keywords>
  <dc:language>en-GB</dc:language>
  <cp:lastModifiedBy/>
  <dcterms:modified xsi:type="dcterms:W3CDTF">2026-05-17T16:50:03Z</dcterms:modified>
  <cp:revision>2</cp:revision>
  <dc:subject>Working hypothesis paper</dc:subject>
  <dc:title>Gobekli Tepe and the First-Wealth Problem v0.4</dc:title>
</cp:coreProperties>
</file>

<file path=docProps/custom.xml><?xml version="1.0" encoding="utf-8"?>
<Properties xmlns="http://schemas.openxmlformats.org/officeDocument/2006/custom-properties" xmlns:vt="http://schemas.openxmlformats.org/officeDocument/2006/docPropsVTypes"/>
</file>