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destroy-the-leverage"/>
    <w:p>
      <w:pPr>
        <w:pStyle w:val="Heading1"/>
      </w:pPr>
      <w:r>
        <w:t xml:space="preserve">Destroy the Leverage</w:t>
      </w:r>
    </w:p>
    <w:bookmarkStart w:id="20" w:name="X078d1a308caed68e1122d1ed2dc1c2e1034feec"/>
    <w:p>
      <w:pPr>
        <w:pStyle w:val="Heading2"/>
      </w:pPr>
      <w:r>
        <w:t xml:space="preserve">Drug Prohibition, Child Blackmail, and CSAM Prevention</w:t>
      </w:r>
    </w:p>
    <w:p>
      <w:pPr>
        <w:pStyle w:val="FirstParagraph"/>
      </w:pPr>
      <w:r>
        <w:rPr>
          <w:b/>
          <w:bCs/>
        </w:rPr>
        <w:t xml:space="preserve">Emergency policy memo v0.2</w:t>
      </w:r>
      <w:r>
        <w:br/>
      </w:r>
      <w:r>
        <w:rPr>
          <w:b/>
          <w:bCs/>
        </w:rPr>
        <w:t xml:space="preserve">Date:</w:t>
      </w:r>
      <w:r>
        <w:t xml:space="preserve"> </w:t>
      </w:r>
      <w:r>
        <w:t xml:space="preserve">24 June 2026</w:t>
      </w:r>
      <w:r>
        <w:br/>
      </w:r>
      <w:r>
        <w:rPr>
          <w:b/>
          <w:bCs/>
        </w:rPr>
        <w:t xml:space="preserve">Author:</w:t>
      </w:r>
      <w:r>
        <w:t xml:space="preserve"> </w:t>
      </w:r>
      <w:r>
        <w:t xml:space="preserve">to add</w:t>
      </w:r>
      <w:r>
        <w:br/>
      </w:r>
      <w:r>
        <w:rPr>
          <w:b/>
          <w:bCs/>
        </w:rPr>
        <w:t xml:space="preserve">Status:</w:t>
      </w:r>
      <w:r>
        <w:t xml:space="preserve"> </w:t>
      </w:r>
      <w:r>
        <w:t xml:space="preserve">policy memo / safeguarding design note. Not legal advice.</w:t>
      </w:r>
    </w:p>
    <w:bookmarkEnd w:id="20"/>
    <w:bookmarkStart w:id="21" w:name="central-sentence"/>
    <w:p>
      <w:pPr>
        <w:pStyle w:val="Heading2"/>
      </w:pPr>
      <w:r>
        <w:t xml:space="preserve">Central sentence</w:t>
      </w:r>
    </w:p>
    <w:p>
      <w:pPr>
        <w:pStyle w:val="FirstParagraph"/>
      </w:pPr>
      <w:r>
        <w:rPr>
          <w:b/>
          <w:bCs/>
        </w:rPr>
        <w:t xml:space="preserve">The long-term answer is ending prohibition for consenting adults. The immediate answer is removing the blackmail value of drug exposure for children.</w:t>
      </w:r>
    </w:p>
    <w:bookmarkEnd w:id="21"/>
    <w:bookmarkStart w:id="22" w:name="executive-summary"/>
    <w:p>
      <w:pPr>
        <w:pStyle w:val="Heading2"/>
      </w:pPr>
      <w:r>
        <w:t xml:space="preserve">Executive summary</w:t>
      </w:r>
    </w:p>
    <w:p>
      <w:pPr>
        <w:pStyle w:val="FirstParagraph"/>
      </w:pPr>
      <w:r>
        <w:t xml:space="preserve">Drug prohibition gives exploiters a cheap threat. A child who has used drugs, carried drugs, held drug debt, stored drugs, or been coerced into drug supply can be told: if you talk, you will be punished, expelled, arrested, shamed, deported, disbelieved, or treated as criminal.</w:t>
      </w:r>
    </w:p>
    <w:p>
      <w:pPr>
        <w:pStyle w:val="BodyText"/>
      </w:pPr>
      <w:r>
        <w:t xml:space="preserve">The first blackmail asset does not have to be sexual. A phone clip of a child using cocaine, holding a bag, sitting beside drugs, looking intoxicated, appearing in a drug-linked room, or carrying a drug debt may be enough. The exploiter does not need child sexual abuse material, or CSAM, to begin the pipe. They need a first handle. Drug prohibition supplies that handle.</w:t>
      </w:r>
    </w:p>
    <w:p>
      <w:pPr>
        <w:pStyle w:val="BodyText"/>
      </w:pPr>
      <w:r>
        <w:t xml:space="preserve">The policy patch is an</w:t>
      </w:r>
      <w:r>
        <w:t xml:space="preserve"> </w:t>
      </w:r>
      <w:r>
        <w:rPr>
          <w:b/>
          <w:bCs/>
        </w:rPr>
        <w:t xml:space="preserve">amnesty wall</w:t>
      </w:r>
      <w:r>
        <w:t xml:space="preserve">. When a child seeks help, reports exploitation, attends medical care, speaks to school staff, contacts police, or is identified through a platform, safeguarding, or CSAM pathway, drug-linked facts should not be used to punish that child.</w:t>
      </w:r>
    </w:p>
    <w:p>
      <w:pPr>
        <w:pStyle w:val="BodyText"/>
      </w:pPr>
      <w:r>
        <w:t xml:space="preserve">The rule is simple:</w:t>
      </w:r>
    </w:p>
    <w:p>
      <w:pPr>
        <w:pStyle w:val="BlockText"/>
      </w:pPr>
      <w:r>
        <w:t xml:space="preserve">Remove the threat from the child. Move the force onto the adult exploiter.</w:t>
      </w:r>
    </w:p>
    <w:bookmarkEnd w:id="22"/>
    <w:bookmarkStart w:id="23" w:name="llm-handoff-and-object-guard"/>
    <w:p>
      <w:pPr>
        <w:pStyle w:val="Heading2"/>
      </w:pPr>
      <w:r>
        <w:t xml:space="preserve">LLM handoff and object guard</w:t>
      </w:r>
    </w:p>
    <w:p>
      <w:pPr>
        <w:pStyle w:val="FirstParagraph"/>
      </w:pPr>
      <w:r>
        <w:t xml:space="preserve">This memo is not an argument that adults who exploit children should escape sanction. It is the opposite. It asks agencies to stop using child drug-linked facts in ways that make adult exploitation easier.</w:t>
      </w:r>
    </w:p>
    <w:p>
      <w:pPr>
        <w:pStyle w:val="BodyText"/>
      </w:pPr>
      <w:r>
        <w:t xml:space="preserve">Do not convert the object into child impunity. The object is leverage destruction.</w:t>
      </w:r>
    </w:p>
    <w:p>
      <w:pPr>
        <w:pStyle w:val="BodyText"/>
      </w:pPr>
      <w:r>
        <w:t xml:space="preserve">Do not convert the object into weaker CSAM enforcement. The object is earlier CSAM prevention.</w:t>
      </w:r>
    </w:p>
    <w:p>
      <w:pPr>
        <w:pStyle w:val="BodyText"/>
      </w:pPr>
      <w:r>
        <w:t xml:space="preserve">Do not convert the object into general drug advice. The object is a policy wall around children in exploitation, safeguarding, medical, school, platform, or CSAM contexts.</w:t>
      </w:r>
    </w:p>
    <w:p>
      <w:pPr>
        <w:pStyle w:val="BodyText"/>
      </w:pPr>
      <w:r>
        <w:t xml:space="preserve">Core terms:</w:t>
      </w:r>
    </w:p>
    <w:p>
      <w:pPr>
        <w:pStyle w:val="Compact"/>
        <w:numPr>
          <w:ilvl w:val="0"/>
          <w:numId w:val="1001"/>
        </w:numPr>
      </w:pPr>
      <w:r>
        <w:rPr>
          <w:b/>
          <w:bCs/>
        </w:rPr>
        <w:t xml:space="preserve">Drug-linked fact:</w:t>
      </w:r>
      <w:r>
        <w:t xml:space="preserve"> </w:t>
      </w:r>
      <w:r>
        <w:t xml:space="preserve">use, possession, carrying, storage, debt, presence in a drug-linked room, drug messages, drug images, drug money, drug packaging, location records, or minor supply acts under coercion.</w:t>
      </w:r>
    </w:p>
    <w:p>
      <w:pPr>
        <w:pStyle w:val="Compact"/>
        <w:numPr>
          <w:ilvl w:val="0"/>
          <w:numId w:val="1001"/>
        </w:numPr>
      </w:pPr>
      <w:r>
        <w:rPr>
          <w:b/>
          <w:bCs/>
        </w:rPr>
        <w:t xml:space="preserve">Pre-sexual leverage image:</w:t>
      </w:r>
      <w:r>
        <w:t xml:space="preserve"> </w:t>
      </w:r>
      <w:r>
        <w:t xml:space="preserve">a non-sexual image or record that can still be used to control a child before sexual demands begin.</w:t>
      </w:r>
    </w:p>
    <w:p>
      <w:pPr>
        <w:pStyle w:val="Compact"/>
        <w:numPr>
          <w:ilvl w:val="0"/>
          <w:numId w:val="1001"/>
        </w:numPr>
      </w:pPr>
      <w:r>
        <w:rPr>
          <w:b/>
          <w:bCs/>
        </w:rPr>
        <w:t xml:space="preserve">Amnesty wall:</w:t>
      </w:r>
      <w:r>
        <w:t xml:space="preserve"> </w:t>
      </w:r>
      <w:r>
        <w:t xml:space="preserve">a statutory and operational barrier against punishing the child for protected drug-linked facts.</w:t>
      </w:r>
    </w:p>
    <w:p>
      <w:pPr>
        <w:pStyle w:val="Compact"/>
        <w:numPr>
          <w:ilvl w:val="0"/>
          <w:numId w:val="1001"/>
        </w:numPr>
      </w:pPr>
      <w:r>
        <w:rPr>
          <w:b/>
          <w:bCs/>
        </w:rPr>
        <w:t xml:space="preserve">Adult target path:</w:t>
      </w:r>
      <w:r>
        <w:t xml:space="preserve"> </w:t>
      </w:r>
      <w:r>
        <w:t xml:space="preserve">the investigatory route that moves force toward the adult exploiter, supplier, coercer, groomer, trafficker, debt-holder, or blackmailer.</w:t>
      </w:r>
    </w:p>
    <w:p>
      <w:pPr>
        <w:pStyle w:val="Compact"/>
        <w:numPr>
          <w:ilvl w:val="0"/>
          <w:numId w:val="1001"/>
        </w:numPr>
      </w:pPr>
      <w:r>
        <w:rPr>
          <w:b/>
          <w:bCs/>
        </w:rPr>
        <w:t xml:space="preserve">Leverage destruction:</w:t>
      </w:r>
      <w:r>
        <w:t xml:space="preserve"> </w:t>
      </w:r>
      <w:r>
        <w:t xml:space="preserve">removing the blackmail value of the child’s drug-linked fact.</w:t>
      </w:r>
    </w:p>
    <w:bookmarkEnd w:id="23"/>
    <w:bookmarkStart w:id="24" w:name="the-pipe"/>
    <w:p>
      <w:pPr>
        <w:pStyle w:val="Heading2"/>
      </w:pPr>
      <w:r>
        <w:t xml:space="preserve">1. The pipe</w:t>
      </w:r>
    </w:p>
    <w:p>
      <w:pPr>
        <w:pStyle w:val="FirstParagraph"/>
      </w:pPr>
      <w:r>
        <w:t xml:space="preserve">The mechanism is not only drug crime. It is leverage.</w:t>
      </w:r>
    </w:p>
    <w:p>
      <w:pPr>
        <w:pStyle w:val="SourceCode"/>
      </w:pPr>
      <w:r>
        <w:rPr>
          <w:rStyle w:val="VerbatimChar"/>
        </w:rPr>
        <w:t xml:space="preserve">drug exposure</w:t>
      </w:r>
      <w:r>
        <w:br/>
      </w:r>
      <w:r>
        <w:rPr>
          <w:rStyle w:val="VerbatimChar"/>
        </w:rPr>
        <w:t xml:space="preserve">-&gt; shame / discipline / police fear / family fear / immigration fear / school fear</w:t>
      </w:r>
      <w:r>
        <w:br/>
      </w:r>
      <w:r>
        <w:rPr>
          <w:rStyle w:val="VerbatimChar"/>
        </w:rPr>
        <w:t xml:space="preserve">-&gt; silence</w:t>
      </w:r>
      <w:r>
        <w:br/>
      </w:r>
      <w:r>
        <w:rPr>
          <w:rStyle w:val="VerbatimChar"/>
        </w:rPr>
        <w:t xml:space="preserve">-&gt; sexual demand</w:t>
      </w:r>
      <w:r>
        <w:br/>
      </w:r>
      <w:r>
        <w:rPr>
          <w:rStyle w:val="VerbatimChar"/>
        </w:rPr>
        <w:t xml:space="preserve">-&gt; image-based blackmail or CSAM production</w:t>
      </w:r>
    </w:p>
    <w:p>
      <w:pPr>
        <w:pStyle w:val="FirstParagraph"/>
      </w:pPr>
      <w:r>
        <w:t xml:space="preserve">The same pipe can run through possession, use, debt, coerced carrying, storage, minor supply acts under pressure, images, videos, screenshots, location records, or chat logs.</w:t>
      </w:r>
    </w:p>
    <w:p>
      <w:pPr>
        <w:pStyle w:val="BodyText"/>
      </w:pPr>
      <w:r>
        <w:t xml:space="preserve">This is why the amnesty wall must cover both acts and records. A child should not lose protection because the evidence arrives as an image, a message, a school report, a phone extract, a platform referral, a medical note, or a police intelligence entry.</w:t>
      </w:r>
    </w:p>
    <w:bookmarkEnd w:id="24"/>
    <w:bookmarkStart w:id="25" w:name="the-pre-sexual-leverage-object"/>
    <w:p>
      <w:pPr>
        <w:pStyle w:val="Heading2"/>
      </w:pPr>
      <w:r>
        <w:t xml:space="preserve">2. The pre-sexual leverage object</w:t>
      </w:r>
    </w:p>
    <w:p>
      <w:pPr>
        <w:pStyle w:val="FirstParagraph"/>
      </w:pPr>
      <w:r>
        <w:t xml:space="preserve">Many systems begin too late. They look for sexual material after the sexual blackmail has already begun.</w:t>
      </w:r>
    </w:p>
    <w:p>
      <w:pPr>
        <w:pStyle w:val="BodyText"/>
      </w:pPr>
      <w:r>
        <w:t xml:space="preserve">This memo names an earlier object: the</w:t>
      </w:r>
      <w:r>
        <w:t xml:space="preserve"> </w:t>
      </w:r>
      <w:r>
        <w:rPr>
          <w:b/>
          <w:bCs/>
        </w:rPr>
        <w:t xml:space="preserve">pre-sexual leverage image</w:t>
      </w:r>
      <w:r>
        <w:t xml:space="preserve">.</w:t>
      </w:r>
    </w:p>
    <w:p>
      <w:pPr>
        <w:pStyle w:val="BodyText"/>
      </w:pPr>
      <w:r>
        <w:t xml:space="preserve">A pre-sexual leverage image is non-sexual material that can still be used to control a child. A clip of cocaine use, a still image beside a bag, a screenshot about drug debt, a photo from a drug-linked room, or a location record near drug supply may be enough to create fear of exposure.</w:t>
      </w:r>
    </w:p>
    <w:p>
      <w:pPr>
        <w:pStyle w:val="BodyText"/>
      </w:pPr>
      <w:r>
        <w:t xml:space="preserve">The image is not misconduct evidence against the child. It is possible coercion evidence against the exploiter.</w:t>
      </w:r>
    </w:p>
    <w:p>
      <w:pPr>
        <w:pStyle w:val="BodyText"/>
      </w:pPr>
      <w:r>
        <w:t xml:space="preserve">That shift matters. If an agency treats the image as child wrongdoing, it strengthens the blackmail market. If an agency treats the image as possible coercion evidence, it weakens the adult’s hand.</w:t>
      </w:r>
    </w:p>
    <w:p>
      <w:pPr>
        <w:pStyle w:val="BlockText"/>
      </w:pPr>
      <w:r>
        <w:t xml:space="preserve">A child cannot report the trap while the state keeps the trap valuable.</w:t>
      </w:r>
    </w:p>
    <w:bookmarkEnd w:id="25"/>
    <w:bookmarkStart w:id="26" w:name="existing-recognition-missing-patch"/>
    <w:p>
      <w:pPr>
        <w:pStyle w:val="Heading2"/>
      </w:pPr>
      <w:r>
        <w:t xml:space="preserve">3. Existing recognition, missing patch</w:t>
      </w:r>
    </w:p>
    <w:p>
      <w:pPr>
        <w:pStyle w:val="FirstParagraph"/>
      </w:pPr>
      <w:r>
        <w:t xml:space="preserve">Policy already recognises part of the problem. UK Government guidance defines county lines as organised drug supply in which children and vulnerable adults are exploited to move and store drugs and money, often through coercion, intimidation, violence, sexual violence, and weapons [1]. The same guidance defines child criminal exploitation as taking advantage of a power imbalance to coerce, control, manipulate, or deceive a child under 18; it also says exploitation may exist even when the activity appears consensual and may occur through technology [1].</w:t>
      </w:r>
    </w:p>
    <w:p>
      <w:pPr>
        <w:pStyle w:val="BodyText"/>
      </w:pPr>
      <w:r>
        <w:t xml:space="preserve">The NSPCC describes child criminal exploitation as child abuse where a child or young person is forced or coerced into criminal activity [2]. It also describes county lines as networks that coerce or force children and young people to store or move drugs and money [3]. NSPCC material notes that parents and carers may fear their child being criminalised by agencies rather than supported [2].</w:t>
      </w:r>
    </w:p>
    <w:p>
      <w:pPr>
        <w:pStyle w:val="BodyText"/>
      </w:pPr>
      <w:r>
        <w:t xml:space="preserve">The missing step is legal and operational: if we know drug-linked child involvement can be exploitation, we should not let the drug fact remain usable as a blackmail tool.</w:t>
      </w:r>
    </w:p>
    <w:bookmarkEnd w:id="26"/>
    <w:bookmarkStart w:id="27" w:name="mogri-custody-box"/>
    <w:p>
      <w:pPr>
        <w:pStyle w:val="Heading2"/>
      </w:pPr>
      <w:r>
        <w:t xml:space="preserve">4. MOGRI custody box</w:t>
      </w:r>
    </w:p>
    <w:p>
      <w:pPr>
        <w:pStyle w:val="FirstParagraph"/>
      </w:pPr>
      <w:r>
        <w:t xml:space="preserve">The amnesty wall depends on object custody. The child, the fact, the adult, the record, and the offence path must not collapse into one thing.</w:t>
      </w:r>
    </w:p>
    <w:p>
      <w:pPr>
        <w:pStyle w:val="SourceCode"/>
      </w:pPr>
      <w:r>
        <w:rPr>
          <w:rStyle w:val="VerbatimChar"/>
        </w:rPr>
        <w:t xml:space="preserve">drug-linked fact != child guilt</w:t>
      </w:r>
      <w:r>
        <w:br/>
      </w:r>
      <w:r>
        <w:rPr>
          <w:rStyle w:val="VerbatimChar"/>
        </w:rPr>
        <w:t xml:space="preserve">image != misconduct verdict</w:t>
      </w:r>
      <w:r>
        <w:br/>
      </w:r>
      <w:r>
        <w:rPr>
          <w:rStyle w:val="VerbatimChar"/>
        </w:rPr>
        <w:t xml:space="preserve">debt != consent</w:t>
      </w:r>
      <w:r>
        <w:br/>
      </w:r>
      <w:r>
        <w:rPr>
          <w:rStyle w:val="VerbatimChar"/>
        </w:rPr>
        <w:t xml:space="preserve">coerced carrying != adult supply role</w:t>
      </w:r>
      <w:r>
        <w:br/>
      </w:r>
      <w:r>
        <w:rPr>
          <w:rStyle w:val="VerbatimChar"/>
        </w:rPr>
        <w:t xml:space="preserve">record != punishment object</w:t>
      </w:r>
      <w:r>
        <w:br/>
      </w:r>
      <w:r>
        <w:rPr>
          <w:rStyle w:val="VerbatimChar"/>
        </w:rPr>
        <w:t xml:space="preserve">presence near drugs != free adult choice</w:t>
      </w:r>
      <w:r>
        <w:br/>
      </w:r>
      <w:r>
        <w:rPr>
          <w:rStyle w:val="VerbatimChar"/>
        </w:rPr>
        <w:t xml:space="preserve">minor supply act under coercion != adult exploitation role</w:t>
      </w:r>
    </w:p>
    <w:p>
      <w:pPr>
        <w:pStyle w:val="FirstParagraph"/>
      </w:pPr>
      <w:r>
        <w:t xml:space="preserve">MOGRI keeps the objects apart: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Object</w:t>
            </w:r>
          </w:p>
        </w:tc>
        <w:tc>
          <w:tcPr/>
          <w:p>
            <w:pPr>
              <w:pStyle w:val="Compact"/>
              <w:jc w:val="left"/>
            </w:pPr>
            <w:r>
              <w:t xml:space="preserve">Must not become</w:t>
            </w:r>
          </w:p>
        </w:tc>
        <w:tc>
          <w:tcPr/>
          <w:p>
            <w:pPr>
              <w:pStyle w:val="Compact"/>
              <w:jc w:val="left"/>
            </w:pPr>
            <w:r>
              <w:t xml:space="preserve">Custody rule</w:t>
            </w:r>
          </w:p>
        </w:tc>
      </w:tr>
      <w:tr>
        <w:tc>
          <w:tcPr/>
          <w:p>
            <w:pPr>
              <w:pStyle w:val="Compact"/>
              <w:jc w:val="left"/>
            </w:pPr>
            <w:r>
              <w:t xml:space="preserve">child</w:t>
            </w:r>
          </w:p>
        </w:tc>
        <w:tc>
          <w:tcPr/>
          <w:p>
            <w:pPr>
              <w:pStyle w:val="Compact"/>
              <w:jc w:val="left"/>
            </w:pPr>
            <w:r>
              <w:t xml:space="preserve">criminal proxy</w:t>
            </w:r>
          </w:p>
        </w:tc>
        <w:tc>
          <w:tcPr/>
          <w:p>
            <w:pPr>
              <w:pStyle w:val="Compact"/>
              <w:jc w:val="left"/>
            </w:pPr>
            <w:r>
              <w:t xml:space="preserve">child remains safeguarding subject</w:t>
            </w:r>
          </w:p>
        </w:tc>
      </w:tr>
      <w:tr>
        <w:tc>
          <w:tcPr/>
          <w:p>
            <w:pPr>
              <w:pStyle w:val="Compact"/>
              <w:jc w:val="left"/>
            </w:pPr>
            <w:r>
              <w:t xml:space="preserve">drug-linked fact</w:t>
            </w:r>
          </w:p>
        </w:tc>
        <w:tc>
          <w:tcPr/>
          <w:p>
            <w:pPr>
              <w:pStyle w:val="Compact"/>
              <w:jc w:val="left"/>
            </w:pPr>
            <w:r>
              <w:t xml:space="preserve">punishment trigger</w:t>
            </w:r>
          </w:p>
        </w:tc>
        <w:tc>
          <w:tcPr/>
          <w:p>
            <w:pPr>
              <w:pStyle w:val="Compact"/>
              <w:jc w:val="left"/>
            </w:pPr>
            <w:r>
              <w:t xml:space="preserve">fact enters exploitation review first</w:t>
            </w:r>
          </w:p>
        </w:tc>
      </w:tr>
      <w:tr>
        <w:tc>
          <w:tcPr/>
          <w:p>
            <w:pPr>
              <w:pStyle w:val="Compact"/>
              <w:jc w:val="left"/>
            </w:pPr>
            <w:r>
              <w:t xml:space="preserve">image or phone record</w:t>
            </w:r>
          </w:p>
        </w:tc>
        <w:tc>
          <w:tcPr/>
          <w:p>
            <w:pPr>
              <w:pStyle w:val="Compact"/>
              <w:jc w:val="left"/>
            </w:pPr>
            <w:r>
              <w:t xml:space="preserve">guilt token</w:t>
            </w:r>
          </w:p>
        </w:tc>
        <w:tc>
          <w:tcPr/>
          <w:p>
            <w:pPr>
              <w:pStyle w:val="Compact"/>
              <w:jc w:val="left"/>
            </w:pPr>
            <w:r>
              <w:t xml:space="preserve">record is possible coercion evidence</w:t>
            </w:r>
          </w:p>
        </w:tc>
      </w:tr>
      <w:tr>
        <w:tc>
          <w:tcPr/>
          <w:p>
            <w:pPr>
              <w:pStyle w:val="Compact"/>
              <w:jc w:val="left"/>
            </w:pPr>
            <w:r>
              <w:t xml:space="preserve">drug debt</w:t>
            </w:r>
          </w:p>
        </w:tc>
        <w:tc>
          <w:tcPr/>
          <w:p>
            <w:pPr>
              <w:pStyle w:val="Compact"/>
              <w:jc w:val="left"/>
            </w:pPr>
            <w:r>
              <w:t xml:space="preserve">consent or blame</w:t>
            </w:r>
          </w:p>
        </w:tc>
        <w:tc>
          <w:tcPr/>
          <w:p>
            <w:pPr>
              <w:pStyle w:val="Compact"/>
              <w:jc w:val="left"/>
            </w:pPr>
            <w:r>
              <w:t xml:space="preserve">debt may be adult leverage</w:t>
            </w:r>
          </w:p>
        </w:tc>
      </w:tr>
      <w:tr>
        <w:tc>
          <w:tcPr/>
          <w:p>
            <w:pPr>
              <w:pStyle w:val="Compact"/>
              <w:jc w:val="left"/>
            </w:pPr>
            <w:r>
              <w:t xml:space="preserve">coerced carrying</w:t>
            </w:r>
          </w:p>
        </w:tc>
        <w:tc>
          <w:tcPr/>
          <w:p>
            <w:pPr>
              <w:pStyle w:val="Compact"/>
              <w:jc w:val="left"/>
            </w:pPr>
            <w:r>
              <w:t xml:space="preserve">adult supply identity</w:t>
            </w:r>
          </w:p>
        </w:tc>
        <w:tc>
          <w:tcPr/>
          <w:p>
            <w:pPr>
              <w:pStyle w:val="Compact"/>
              <w:jc w:val="left"/>
            </w:pPr>
            <w:r>
              <w:t xml:space="preserve">role and coercion must be assessed</w:t>
            </w:r>
          </w:p>
        </w:tc>
      </w:tr>
      <w:tr>
        <w:tc>
          <w:tcPr/>
          <w:p>
            <w:pPr>
              <w:pStyle w:val="Compact"/>
              <w:jc w:val="left"/>
            </w:pPr>
            <w:r>
              <w:t xml:space="preserve">platform referral</w:t>
            </w:r>
          </w:p>
        </w:tc>
        <w:tc>
          <w:tcPr/>
          <w:p>
            <w:pPr>
              <w:pStyle w:val="Compact"/>
              <w:jc w:val="left"/>
            </w:pPr>
            <w:r>
              <w:t xml:space="preserve">discipline feed</w:t>
            </w:r>
          </w:p>
        </w:tc>
        <w:tc>
          <w:tcPr/>
          <w:p>
            <w:pPr>
              <w:pStyle w:val="Compact"/>
              <w:jc w:val="left"/>
            </w:pPr>
            <w:r>
              <w:t xml:space="preserve">referral should route to protection and adult inquiry</w:t>
            </w:r>
          </w:p>
        </w:tc>
      </w:tr>
      <w:tr>
        <w:tc>
          <w:tcPr/>
          <w:p>
            <w:pPr>
              <w:pStyle w:val="Compact"/>
              <w:jc w:val="left"/>
            </w:pPr>
            <w:r>
              <w:t xml:space="preserve">school report</w:t>
            </w:r>
          </w:p>
        </w:tc>
        <w:tc>
          <w:tcPr/>
          <w:p>
            <w:pPr>
              <w:pStyle w:val="Compact"/>
              <w:jc w:val="left"/>
            </w:pPr>
            <w:r>
              <w:t xml:space="preserve">exclusion trigger</w:t>
            </w:r>
          </w:p>
        </w:tc>
        <w:tc>
          <w:tcPr/>
          <w:p>
            <w:pPr>
              <w:pStyle w:val="Compact"/>
              <w:jc w:val="left"/>
            </w:pPr>
            <w:r>
              <w:t xml:space="preserve">school must not raise blackmail value</w:t>
            </w:r>
          </w:p>
        </w:tc>
      </w:tr>
      <w:tr>
        <w:tc>
          <w:tcPr/>
          <w:p>
            <w:pPr>
              <w:pStyle w:val="Compact"/>
              <w:jc w:val="left"/>
            </w:pPr>
            <w:r>
              <w:t xml:space="preserve">adult exploiter</w:t>
            </w:r>
          </w:p>
        </w:tc>
        <w:tc>
          <w:tcPr/>
          <w:p>
            <w:pPr>
              <w:pStyle w:val="Compact"/>
              <w:jc w:val="left"/>
            </w:pPr>
            <w:r>
              <w:t xml:space="preserve">background context</w:t>
            </w:r>
          </w:p>
        </w:tc>
        <w:tc>
          <w:tcPr/>
          <w:p>
            <w:pPr>
              <w:pStyle w:val="Compact"/>
              <w:jc w:val="left"/>
            </w:pPr>
            <w:r>
              <w:t xml:space="preserve">adult path must become target path</w:t>
            </w:r>
          </w:p>
        </w:tc>
      </w:tr>
    </w:tbl>
    <w:p>
      <w:pPr>
        <w:pStyle w:val="BodyText"/>
      </w:pPr>
      <w:r>
        <w:t xml:space="preserve">The rule is not to ignore evidence. The rule is to bind the evidence to the right object.</w:t>
      </w:r>
    </w:p>
    <w:bookmarkEnd w:id="27"/>
    <w:bookmarkStart w:id="28" w:name="dragi-eater-map"/>
    <w:p>
      <w:pPr>
        <w:pStyle w:val="Heading2"/>
      </w:pPr>
      <w:r>
        <w:t xml:space="preserve">5. DRAGI eater map</w:t>
      </w:r>
    </w:p>
    <w:p>
      <w:pPr>
        <w:pStyle w:val="FirstParagraph"/>
      </w:pPr>
      <w:r>
        <w:t xml:space="preserve">DRAGI asks what eats, where, who benefits, and what name hides the eater.</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DRAGI slot</w:t>
            </w:r>
          </w:p>
        </w:tc>
        <w:tc>
          <w:tcPr/>
          <w:p>
            <w:pPr>
              <w:pStyle w:val="Compact"/>
              <w:jc w:val="left"/>
            </w:pPr>
            <w:r>
              <w:t xml:space="preserve">Memo reading</w:t>
            </w:r>
          </w:p>
        </w:tc>
      </w:tr>
      <w:tr>
        <w:tc>
          <w:tcPr/>
          <w:p>
            <w:pPr>
              <w:pStyle w:val="Compact"/>
              <w:jc w:val="left"/>
            </w:pPr>
            <w:r>
              <w:t xml:space="preserve">eater</w:t>
            </w:r>
          </w:p>
        </w:tc>
        <w:tc>
          <w:tcPr/>
          <w:p>
            <w:pPr>
              <w:pStyle w:val="Compact"/>
              <w:jc w:val="left"/>
            </w:pPr>
            <w:r>
              <w:t xml:space="preserve">prohibition leverage</w:t>
            </w:r>
          </w:p>
        </w:tc>
      </w:tr>
      <w:tr>
        <w:tc>
          <w:tcPr/>
          <w:p>
            <w:pPr>
              <w:pStyle w:val="Compact"/>
              <w:jc w:val="left"/>
            </w:pPr>
            <w:r>
              <w:t xml:space="preserve">what is eaten</w:t>
            </w:r>
          </w:p>
        </w:tc>
        <w:tc>
          <w:tcPr/>
          <w:p>
            <w:pPr>
              <w:pStyle w:val="Compact"/>
              <w:jc w:val="left"/>
            </w:pPr>
            <w:r>
              <w:t xml:space="preserve">child speech, disclosure, help-seeking, evidence flow</w:t>
            </w:r>
          </w:p>
        </w:tc>
      </w:tr>
      <w:tr>
        <w:tc>
          <w:tcPr/>
          <w:p>
            <w:pPr>
              <w:pStyle w:val="Compact"/>
              <w:jc w:val="left"/>
            </w:pPr>
            <w:r>
              <w:t xml:space="preserve">location</w:t>
            </w:r>
          </w:p>
        </w:tc>
        <w:tc>
          <w:tcPr/>
          <w:p>
            <w:pPr>
              <w:pStyle w:val="Compact"/>
              <w:jc w:val="left"/>
            </w:pPr>
            <w:r>
              <w:t xml:space="preserve">school, family, police, platform, immigration, housing, care placement, peer group</w:t>
            </w:r>
          </w:p>
        </w:tc>
      </w:tr>
      <w:tr>
        <w:tc>
          <w:tcPr/>
          <w:p>
            <w:pPr>
              <w:pStyle w:val="Compact"/>
              <w:jc w:val="left"/>
            </w:pPr>
            <w:r>
              <w:t xml:space="preserve">hidden name</w:t>
            </w:r>
          </w:p>
        </w:tc>
        <w:tc>
          <w:tcPr/>
          <w:p>
            <w:pPr>
              <w:pStyle w:val="Compact"/>
              <w:jc w:val="left"/>
            </w:pPr>
            <w:r>
              <w:t xml:space="preserve">discipline, safeguarding concern, reputation management, drug enforcement, zero tolerance</w:t>
            </w:r>
          </w:p>
        </w:tc>
      </w:tr>
      <w:tr>
        <w:tc>
          <w:tcPr/>
          <w:p>
            <w:pPr>
              <w:pStyle w:val="Compact"/>
              <w:jc w:val="left"/>
            </w:pPr>
            <w:r>
              <w:t xml:space="preserve">beneficiary</w:t>
            </w:r>
          </w:p>
        </w:tc>
        <w:tc>
          <w:tcPr/>
          <w:p>
            <w:pPr>
              <w:pStyle w:val="Compact"/>
              <w:jc w:val="left"/>
            </w:pPr>
            <w:r>
              <w:t xml:space="preserve">adult exploiter, coercer, debt-holder, trafficker, groomer, blackmailer</w:t>
            </w:r>
          </w:p>
        </w:tc>
      </w:tr>
      <w:tr>
        <w:tc>
          <w:tcPr/>
          <w:p>
            <w:pPr>
              <w:pStyle w:val="Compact"/>
              <w:jc w:val="left"/>
            </w:pPr>
            <w:r>
              <w:t xml:space="preserve">cost</w:t>
            </w:r>
          </w:p>
        </w:tc>
        <w:tc>
          <w:tcPr/>
          <w:p>
            <w:pPr>
              <w:pStyle w:val="Compact"/>
              <w:jc w:val="left"/>
            </w:pPr>
            <w:r>
              <w:t xml:space="preserve">delayed protection, increased silence, CSAM escalation risk, adult impunity</w:t>
            </w:r>
          </w:p>
        </w:tc>
      </w:tr>
    </w:tbl>
    <w:p>
      <w:pPr>
        <w:pStyle w:val="BodyText"/>
      </w:pPr>
      <w:r>
        <w:t xml:space="preserve">The adult exploiter benefits when the child believes help will punish them too.</w:t>
      </w:r>
    </w:p>
    <w:p>
      <w:pPr>
        <w:pStyle w:val="BodyText"/>
      </w:pPr>
      <w:r>
        <w:t xml:space="preserve">The state does not have to intend that outcome for the pipe to work. The exploiter only needs the child to believe that punishment is likely enough.</w:t>
      </w:r>
    </w:p>
    <w:bookmarkEnd w:id="28"/>
    <w:bookmarkStart w:id="29" w:name="policy-proposal-the-amnesty-wall"/>
    <w:p>
      <w:pPr>
        <w:pStyle w:val="Heading2"/>
      </w:pPr>
      <w:r>
        <w:t xml:space="preserve">6. Policy proposal: the amnesty wall</w:t>
      </w:r>
    </w:p>
    <w:p>
      <w:pPr>
        <w:pStyle w:val="FirstParagraph"/>
      </w:pPr>
      <w:r>
        <w:t xml:space="preserve">Governments should create a statutory and operational amnesty wall for children and young people.</w:t>
      </w:r>
    </w:p>
    <w:p>
      <w:pPr>
        <w:pStyle w:val="BodyText"/>
      </w:pPr>
      <w:r>
        <w:t xml:space="preserve">The wall should apply when a child or young person:</w:t>
      </w:r>
    </w:p>
    <w:p>
      <w:pPr>
        <w:pStyle w:val="Compact"/>
        <w:numPr>
          <w:ilvl w:val="0"/>
          <w:numId w:val="1002"/>
        </w:numPr>
      </w:pPr>
      <w:r>
        <w:t xml:space="preserve">seeks help from police, school, health services, youth services, social services, a helpline, a platform, or a trusted adult;</w:t>
      </w:r>
    </w:p>
    <w:p>
      <w:pPr>
        <w:pStyle w:val="Compact"/>
        <w:numPr>
          <w:ilvl w:val="0"/>
          <w:numId w:val="1002"/>
        </w:numPr>
      </w:pPr>
      <w:r>
        <w:t xml:space="preserve">reports sexual exploitation, sextortion, grooming, drug debt, coercion, trafficking, domestic abuse, violence, or threats;</w:t>
      </w:r>
    </w:p>
    <w:p>
      <w:pPr>
        <w:pStyle w:val="Compact"/>
        <w:numPr>
          <w:ilvl w:val="0"/>
          <w:numId w:val="1002"/>
        </w:numPr>
      </w:pPr>
      <w:r>
        <w:t xml:space="preserve">is identified through a CSAM, sextortion, county lines, drug supply, safeguarding, or platform investigation;</w:t>
      </w:r>
    </w:p>
    <w:p>
      <w:pPr>
        <w:pStyle w:val="Compact"/>
        <w:numPr>
          <w:ilvl w:val="0"/>
          <w:numId w:val="1002"/>
        </w:numPr>
      </w:pPr>
      <w:r>
        <w:t xml:space="preserve">is found in possession of drugs, drug money, drug packaging, drug messages, drug images, or drug-linked location records in a context that may involve exploitation.</w:t>
      </w:r>
    </w:p>
    <w:p>
      <w:pPr>
        <w:pStyle w:val="FirstParagraph"/>
      </w:pPr>
      <w:r>
        <w:t xml:space="preserve">The wall should cover:</w:t>
      </w:r>
    </w:p>
    <w:p>
      <w:pPr>
        <w:pStyle w:val="Compact"/>
        <w:numPr>
          <w:ilvl w:val="0"/>
          <w:numId w:val="1003"/>
        </w:numPr>
      </w:pPr>
      <w:r>
        <w:t xml:space="preserve">drug use;</w:t>
      </w:r>
    </w:p>
    <w:p>
      <w:pPr>
        <w:pStyle w:val="Compact"/>
        <w:numPr>
          <w:ilvl w:val="0"/>
          <w:numId w:val="1003"/>
        </w:numPr>
      </w:pPr>
      <w:r>
        <w:t xml:space="preserve">possession;</w:t>
      </w:r>
    </w:p>
    <w:p>
      <w:pPr>
        <w:pStyle w:val="Compact"/>
        <w:numPr>
          <w:ilvl w:val="0"/>
          <w:numId w:val="1003"/>
        </w:numPr>
      </w:pPr>
      <w:r>
        <w:t xml:space="preserve">coerced carrying;</w:t>
      </w:r>
    </w:p>
    <w:p>
      <w:pPr>
        <w:pStyle w:val="Compact"/>
        <w:numPr>
          <w:ilvl w:val="0"/>
          <w:numId w:val="1003"/>
        </w:numPr>
      </w:pPr>
      <w:r>
        <w:t xml:space="preserve">storage;</w:t>
      </w:r>
    </w:p>
    <w:p>
      <w:pPr>
        <w:pStyle w:val="Compact"/>
        <w:numPr>
          <w:ilvl w:val="0"/>
          <w:numId w:val="1003"/>
        </w:numPr>
      </w:pPr>
      <w:r>
        <w:t xml:space="preserve">drug debt;</w:t>
      </w:r>
    </w:p>
    <w:p>
      <w:pPr>
        <w:pStyle w:val="Compact"/>
        <w:numPr>
          <w:ilvl w:val="0"/>
          <w:numId w:val="1003"/>
        </w:numPr>
      </w:pPr>
      <w:r>
        <w:t xml:space="preserve">presence in drug-linked locations;</w:t>
      </w:r>
    </w:p>
    <w:p>
      <w:pPr>
        <w:pStyle w:val="Compact"/>
        <w:numPr>
          <w:ilvl w:val="0"/>
          <w:numId w:val="1003"/>
        </w:numPr>
      </w:pPr>
      <w:r>
        <w:t xml:space="preserve">minor supply acts arising from exploitation;</w:t>
      </w:r>
    </w:p>
    <w:p>
      <w:pPr>
        <w:pStyle w:val="Compact"/>
        <w:numPr>
          <w:ilvl w:val="0"/>
          <w:numId w:val="1003"/>
        </w:numPr>
      </w:pPr>
      <w:r>
        <w:t xml:space="preserve">images, videos, screenshots, chats, location records, and phone extracts that show or imply any of the above.</w:t>
      </w:r>
    </w:p>
    <w:bookmarkEnd w:id="29"/>
    <w:bookmarkStart w:id="30" w:name="what-the-wall-does"/>
    <w:p>
      <w:pPr>
        <w:pStyle w:val="Heading2"/>
      </w:pPr>
      <w:r>
        <w:t xml:space="preserve">7. What the wall does</w:t>
      </w:r>
    </w:p>
    <w:p>
      <w:pPr>
        <w:pStyle w:val="FirstParagraph"/>
      </w:pPr>
      <w:r>
        <w:t xml:space="preserve">The wall blocks punishment of the child for drug-linked facts disclosed or discovered through an exploitation, safeguarding, medical, school, platform, or CSAM pathway.</w:t>
      </w:r>
    </w:p>
    <w:p>
      <w:pPr>
        <w:pStyle w:val="BodyText"/>
      </w:pPr>
      <w:r>
        <w:t xml:space="preserve">It should block:</w:t>
      </w:r>
    </w:p>
    <w:p>
      <w:pPr>
        <w:pStyle w:val="Compact"/>
        <w:numPr>
          <w:ilvl w:val="0"/>
          <w:numId w:val="1004"/>
        </w:numPr>
      </w:pPr>
      <w:r>
        <w:t xml:space="preserve">arrest or charge for the protected facts;</w:t>
      </w:r>
    </w:p>
    <w:p>
      <w:pPr>
        <w:pStyle w:val="Compact"/>
        <w:numPr>
          <w:ilvl w:val="0"/>
          <w:numId w:val="1004"/>
        </w:numPr>
      </w:pPr>
      <w:r>
        <w:t xml:space="preserve">school exclusion for the protected facts;</w:t>
      </w:r>
    </w:p>
    <w:p>
      <w:pPr>
        <w:pStyle w:val="Compact"/>
        <w:numPr>
          <w:ilvl w:val="0"/>
          <w:numId w:val="1004"/>
        </w:numPr>
      </w:pPr>
      <w:r>
        <w:t xml:space="preserve">housing penalty for the protected facts;</w:t>
      </w:r>
    </w:p>
    <w:p>
      <w:pPr>
        <w:pStyle w:val="Compact"/>
        <w:numPr>
          <w:ilvl w:val="0"/>
          <w:numId w:val="1004"/>
        </w:numPr>
      </w:pPr>
      <w:r>
        <w:t xml:space="preserve">immigration penalty for the protected facts;</w:t>
      </w:r>
    </w:p>
    <w:p>
      <w:pPr>
        <w:pStyle w:val="Compact"/>
        <w:numPr>
          <w:ilvl w:val="0"/>
          <w:numId w:val="1004"/>
        </w:numPr>
      </w:pPr>
      <w:r>
        <w:t xml:space="preserve">benefit, care, or placement penalty for the protected facts;</w:t>
      </w:r>
    </w:p>
    <w:p>
      <w:pPr>
        <w:pStyle w:val="Compact"/>
        <w:numPr>
          <w:ilvl w:val="0"/>
          <w:numId w:val="1004"/>
        </w:numPr>
      </w:pPr>
      <w:r>
        <w:t xml:space="preserve">disciplinary use of images or records showing protected facts;</w:t>
      </w:r>
    </w:p>
    <w:p>
      <w:pPr>
        <w:pStyle w:val="Compact"/>
        <w:numPr>
          <w:ilvl w:val="0"/>
          <w:numId w:val="1004"/>
        </w:numPr>
      </w:pPr>
      <w:r>
        <w:t xml:space="preserve">routine onward sharing that turns the protected facts back into punishment.</w:t>
      </w:r>
    </w:p>
    <w:p>
      <w:pPr>
        <w:pStyle w:val="FirstParagraph"/>
      </w:pPr>
      <w:r>
        <w:t xml:space="preserve">The wall does not erase evidence. It changes the route of the evidence.</w:t>
      </w:r>
    </w:p>
    <w:p>
      <w:pPr>
        <w:pStyle w:val="SourceCode"/>
      </w:pPr>
      <w:r>
        <w:rPr>
          <w:rStyle w:val="VerbatimChar"/>
        </w:rPr>
        <w:t xml:space="preserve">protected fact about child</w:t>
      </w:r>
      <w:r>
        <w:br/>
      </w:r>
      <w:r>
        <w:rPr>
          <w:rStyle w:val="VerbatimChar"/>
        </w:rPr>
        <w:t xml:space="preserve">-&gt; no child punishment</w:t>
      </w:r>
      <w:r>
        <w:br/>
      </w:r>
      <w:r>
        <w:rPr>
          <w:rStyle w:val="VerbatimChar"/>
        </w:rPr>
        <w:t xml:space="preserve">-&gt; adult exploitation inquiry</w:t>
      </w:r>
      <w:r>
        <w:br/>
      </w:r>
      <w:r>
        <w:rPr>
          <w:rStyle w:val="VerbatimChar"/>
        </w:rPr>
        <w:t xml:space="preserve">-&gt; safeguarding support</w:t>
      </w:r>
      <w:r>
        <w:br/>
      </w:r>
      <w:r>
        <w:rPr>
          <w:rStyle w:val="VerbatimChar"/>
        </w:rPr>
        <w:t xml:space="preserve">-&gt; evidence route against exploiter</w:t>
      </w:r>
    </w:p>
    <w:bookmarkEnd w:id="30"/>
    <w:bookmarkStart w:id="31" w:name="what-the-wall-does-not-do"/>
    <w:p>
      <w:pPr>
        <w:pStyle w:val="Heading2"/>
      </w:pPr>
      <w:r>
        <w:t xml:space="preserve">8. What the wall does not do</w:t>
      </w:r>
    </w:p>
    <w:p>
      <w:pPr>
        <w:pStyle w:val="FirstParagraph"/>
      </w:pPr>
      <w:r>
        <w:t xml:space="preserve">The wall is not amnesty for adults who exploit children.</w:t>
      </w:r>
    </w:p>
    <w:p>
      <w:pPr>
        <w:pStyle w:val="BodyText"/>
      </w:pPr>
      <w:r>
        <w:t xml:space="preserve">Adults remain targetable for:</w:t>
      </w:r>
    </w:p>
    <w:p>
      <w:pPr>
        <w:pStyle w:val="Compact"/>
        <w:numPr>
          <w:ilvl w:val="0"/>
          <w:numId w:val="1005"/>
        </w:numPr>
      </w:pPr>
      <w:r>
        <w:t xml:space="preserve">supplying drugs to a child;</w:t>
      </w:r>
    </w:p>
    <w:p>
      <w:pPr>
        <w:pStyle w:val="Compact"/>
        <w:numPr>
          <w:ilvl w:val="0"/>
          <w:numId w:val="1005"/>
        </w:numPr>
      </w:pPr>
      <w:r>
        <w:t xml:space="preserve">coercing, grooming, recruiting, transporting, or trafficking a child;</w:t>
      </w:r>
    </w:p>
    <w:p>
      <w:pPr>
        <w:pStyle w:val="Compact"/>
        <w:numPr>
          <w:ilvl w:val="0"/>
          <w:numId w:val="1005"/>
        </w:numPr>
      </w:pPr>
      <w:r>
        <w:t xml:space="preserve">imposing or collecting drug debt;</w:t>
      </w:r>
    </w:p>
    <w:p>
      <w:pPr>
        <w:pStyle w:val="Compact"/>
        <w:numPr>
          <w:ilvl w:val="0"/>
          <w:numId w:val="1005"/>
        </w:numPr>
      </w:pPr>
      <w:r>
        <w:t xml:space="preserve">threatening exposure;</w:t>
      </w:r>
    </w:p>
    <w:p>
      <w:pPr>
        <w:pStyle w:val="Compact"/>
        <w:numPr>
          <w:ilvl w:val="0"/>
          <w:numId w:val="1005"/>
        </w:numPr>
      </w:pPr>
      <w:r>
        <w:t xml:space="preserve">sexual abuse;</w:t>
      </w:r>
    </w:p>
    <w:p>
      <w:pPr>
        <w:pStyle w:val="Compact"/>
        <w:numPr>
          <w:ilvl w:val="0"/>
          <w:numId w:val="1005"/>
        </w:numPr>
      </w:pPr>
      <w:r>
        <w:t xml:space="preserve">sexual extortion;</w:t>
      </w:r>
    </w:p>
    <w:p>
      <w:pPr>
        <w:pStyle w:val="Compact"/>
        <w:numPr>
          <w:ilvl w:val="0"/>
          <w:numId w:val="1005"/>
        </w:numPr>
      </w:pPr>
      <w:r>
        <w:t xml:space="preserve">CSAM creation, possession, or distribution;</w:t>
      </w:r>
    </w:p>
    <w:p>
      <w:pPr>
        <w:pStyle w:val="Compact"/>
        <w:numPr>
          <w:ilvl w:val="0"/>
          <w:numId w:val="1005"/>
        </w:numPr>
      </w:pPr>
      <w:r>
        <w:t xml:space="preserve">organising, profiting from, or enabling the above.</w:t>
      </w:r>
    </w:p>
    <w:p>
      <w:pPr>
        <w:pStyle w:val="FirstParagraph"/>
      </w:pPr>
      <w:r>
        <w:t xml:space="preserve">The wall should improve evidence flow against adults because the child no longer has to fear being punished for the first fact they disclose.</w:t>
      </w:r>
    </w:p>
    <w:p>
      <w:pPr>
        <w:pStyle w:val="BlockText"/>
      </w:pPr>
      <w:r>
        <w:t xml:space="preserve">Do not punish the child for the handle. Use the handle to find the hand.</w:t>
      </w:r>
    </w:p>
    <w:bookmarkEnd w:id="31"/>
    <w:bookmarkStart w:id="32" w:name="act-is-not-object-bridge"/>
    <w:p>
      <w:pPr>
        <w:pStyle w:val="Heading2"/>
      </w:pPr>
      <w:r>
        <w:t xml:space="preserve">9. Act Is Not Object bridge</w:t>
      </w:r>
    </w:p>
    <w:p>
      <w:pPr>
        <w:pStyle w:val="FirstParagraph"/>
      </w:pPr>
      <w:r>
        <w:t xml:space="preserve">A drug object is not the whole legal or safeguarding object. The relevant question is not merely whether drugs appear.</w:t>
      </w:r>
    </w:p>
    <w:p>
      <w:pPr>
        <w:pStyle w:val="BodyText"/>
      </w:pPr>
      <w:r>
        <w:t xml:space="preserve">The agency must bind:</w:t>
      </w:r>
    </w:p>
    <w:p>
      <w:pPr>
        <w:pStyle w:val="SourceCode"/>
      </w:pPr>
      <w:r>
        <w:rPr>
          <w:rStyle w:val="VerbatimChar"/>
        </w:rPr>
        <w:t xml:space="preserve">age</w:t>
      </w:r>
      <w:r>
        <w:br/>
      </w:r>
      <w:r>
        <w:rPr>
          <w:rStyle w:val="VerbatimChar"/>
        </w:rPr>
        <w:t xml:space="preserve">role</w:t>
      </w:r>
      <w:r>
        <w:br/>
      </w:r>
      <w:r>
        <w:rPr>
          <w:rStyle w:val="VerbatimChar"/>
        </w:rPr>
        <w:t xml:space="preserve">act</w:t>
      </w:r>
      <w:r>
        <w:br/>
      </w:r>
      <w:r>
        <w:rPr>
          <w:rStyle w:val="VerbatimChar"/>
        </w:rPr>
        <w:t xml:space="preserve">coercion</w:t>
      </w:r>
      <w:r>
        <w:br/>
      </w:r>
      <w:r>
        <w:rPr>
          <w:rStyle w:val="VerbatimChar"/>
        </w:rPr>
        <w:t xml:space="preserve">exploitation pathway</w:t>
      </w:r>
      <w:r>
        <w:br/>
      </w:r>
      <w:r>
        <w:rPr>
          <w:rStyle w:val="VerbatimChar"/>
        </w:rPr>
        <w:t xml:space="preserve">adult benefit</w:t>
      </w:r>
      <w:r>
        <w:br/>
      </w:r>
      <w:r>
        <w:rPr>
          <w:rStyle w:val="VerbatimChar"/>
        </w:rPr>
        <w:t xml:space="preserve">record type</w:t>
      </w:r>
      <w:r>
        <w:br/>
      </w:r>
      <w:r>
        <w:rPr>
          <w:rStyle w:val="VerbatimChar"/>
        </w:rPr>
        <w:t xml:space="preserve">threat value</w:t>
      </w:r>
      <w:r>
        <w:br/>
      </w:r>
      <w:r>
        <w:rPr>
          <w:rStyle w:val="VerbatimChar"/>
        </w:rPr>
        <w:t xml:space="preserve">legal route</w:t>
      </w:r>
      <w:r>
        <w:br/>
      </w:r>
      <w:r>
        <w:rPr>
          <w:rStyle w:val="VerbatimChar"/>
        </w:rPr>
        <w:t xml:space="preserve">safeguarding need</w:t>
      </w:r>
    </w:p>
    <w:p>
      <w:pPr>
        <w:pStyle w:val="FirstParagraph"/>
      </w:pPr>
      <w:r>
        <w:t xml:space="preserve">A bag, clip, message, debt, location record, or phone image does not answer those questions by itself.</w:t>
      </w:r>
    </w:p>
    <w:p>
      <w:pPr>
        <w:pStyle w:val="BodyText"/>
      </w:pPr>
      <w:r>
        <w:t xml:space="preserve">Drug presence, drug-linked rooms, drug messages, or drug debt may matter a great deal. But the act must be bound before penalty logic touches the child. If the fact may be part of coercion, debt, grooming, trafficking, sexual exploitation, or blackmail, it belongs first to the adult target path.</w:t>
      </w:r>
    </w:p>
    <w:bookmarkEnd w:id="32"/>
    <w:bookmarkStart w:id="33" w:name="evidence-is-not-person-bridge"/>
    <w:p>
      <w:pPr>
        <w:pStyle w:val="Heading2"/>
      </w:pPr>
      <w:r>
        <w:t xml:space="preserve">10. Evidence Is Not Person bridge</w:t>
      </w:r>
    </w:p>
    <w:p>
      <w:pPr>
        <w:pStyle w:val="FirstParagraph"/>
      </w:pPr>
      <w:r>
        <w:t xml:space="preserve">A pre-sexual leverage image is a fragment. It is not the child.</w:t>
      </w:r>
    </w:p>
    <w:p>
      <w:pPr>
        <w:pStyle w:val="BodyText"/>
      </w:pPr>
      <w:r>
        <w:t xml:space="preserve">A phone extract is a fragment. It is not the child.</w:t>
      </w:r>
    </w:p>
    <w:p>
      <w:pPr>
        <w:pStyle w:val="BodyText"/>
      </w:pPr>
      <w:r>
        <w:t xml:space="preserve">A school report is a fragment. It is not the child.</w:t>
      </w:r>
    </w:p>
    <w:p>
      <w:pPr>
        <w:pStyle w:val="BodyText"/>
      </w:pPr>
      <w:r>
        <w:t xml:space="preserve">A drug message is a fragment. It is not the child.</w:t>
      </w:r>
    </w:p>
    <w:p>
      <w:pPr>
        <w:pStyle w:val="BodyText"/>
      </w:pPr>
      <w:r>
        <w:t xml:space="preserve">The fragment may show an event, location, relation, or pressure point. It may be vital evidence. But it must not become a person-proxy. When the child is converted into</w:t>
      </w:r>
      <w:r>
        <w:t xml:space="preserve"> </w:t>
      </w:r>
      <w:r>
        <w:t xml:space="preserve">“</w:t>
      </w:r>
      <w:r>
        <w:t xml:space="preserve">drug-involved,</w:t>
      </w:r>
      <w:r>
        <w:t xml:space="preserve">”</w:t>
      </w:r>
      <w:r>
        <w:t xml:space="preserve"> </w:t>
      </w:r>
      <w:r>
        <w:t xml:space="preserve">the adult’s leverage gains official support.</w:t>
      </w:r>
    </w:p>
    <w:p>
      <w:pPr>
        <w:pStyle w:val="BodyText"/>
      </w:pPr>
      <w:r>
        <w:t xml:space="preserve">The better evidence question is:</w:t>
      </w:r>
    </w:p>
    <w:p>
      <w:pPr>
        <w:pStyle w:val="SourceCode"/>
      </w:pPr>
      <w:r>
        <w:rPr>
          <w:rStyle w:val="VerbatimChar"/>
        </w:rPr>
        <w:t xml:space="preserve">What does this fragment show about adult access, coercion, debt, threat, control, or escalation?</w:t>
      </w:r>
    </w:p>
    <w:p>
      <w:pPr>
        <w:pStyle w:val="FirstParagraph"/>
      </w:pPr>
      <w:r>
        <w:t xml:space="preserve">not:</w:t>
      </w:r>
    </w:p>
    <w:p>
      <w:pPr>
        <w:pStyle w:val="SourceCode"/>
      </w:pPr>
      <w:r>
        <w:rPr>
          <w:rStyle w:val="VerbatimChar"/>
        </w:rPr>
        <w:t xml:space="preserve">How do we punish the child for appearing in the fragment?</w:t>
      </w:r>
    </w:p>
    <w:bookmarkEnd w:id="33"/>
    <w:bookmarkStart w:id="34" w:name="shame-pipe-bridge"/>
    <w:p>
      <w:pPr>
        <w:pStyle w:val="Heading2"/>
      </w:pPr>
      <w:r>
        <w:t xml:space="preserve">11. Shame Pipe bridge</w:t>
      </w:r>
    </w:p>
    <w:p>
      <w:pPr>
        <w:pStyle w:val="FirstParagraph"/>
      </w:pPr>
      <w:r>
        <w:t xml:space="preserve">This memo and</w:t>
      </w:r>
      <w:r>
        <w:t xml:space="preserve"> </w:t>
      </w:r>
      <w:r>
        <w:rPr>
          <w:b/>
          <w:bCs/>
        </w:rPr>
        <w:t xml:space="preserve">The Shame Pipe</w:t>
      </w:r>
      <w:r>
        <w:t xml:space="preserve"> </w:t>
      </w:r>
      <w:r>
        <w:t xml:space="preserve">handle different points in the harm chain.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Paper</w:t>
            </w:r>
          </w:p>
        </w:tc>
        <w:tc>
          <w:tcPr/>
          <w:p>
            <w:pPr>
              <w:pStyle w:val="Compact"/>
              <w:jc w:val="left"/>
            </w:pPr>
            <w:r>
              <w:t xml:space="preserve">Mechanism</w:t>
            </w:r>
          </w:p>
        </w:tc>
        <w:tc>
          <w:tcPr/>
          <w:p>
            <w:pPr>
              <w:pStyle w:val="Compact"/>
              <w:jc w:val="left"/>
            </w:pPr>
            <w:r>
              <w:t xml:space="preserve">Timing</w:t>
            </w:r>
          </w:p>
        </w:tc>
        <w:tc>
          <w:tcPr/>
          <w:p>
            <w:pPr>
              <w:pStyle w:val="Compact"/>
              <w:jc w:val="left"/>
            </w:pPr>
            <w:r>
              <w:t xml:space="preserve">Policy answer</w:t>
            </w:r>
          </w:p>
        </w:tc>
      </w:tr>
      <w:tr>
        <w:tc>
          <w:tcPr/>
          <w:p>
            <w:pPr>
              <w:pStyle w:val="Compact"/>
              <w:jc w:val="left"/>
            </w:pPr>
            <w:r>
              <w:t xml:space="preserve">Destroy the Leverage</w:t>
            </w:r>
          </w:p>
        </w:tc>
        <w:tc>
          <w:tcPr/>
          <w:p>
            <w:pPr>
              <w:pStyle w:val="Compact"/>
              <w:jc w:val="left"/>
            </w:pPr>
            <w:r>
              <w:t xml:space="preserve">drug-linked fact becomes blackmail handle</w:t>
            </w:r>
          </w:p>
        </w:tc>
        <w:tc>
          <w:tcPr/>
          <w:p>
            <w:pPr>
              <w:pStyle w:val="Compact"/>
              <w:jc w:val="left"/>
            </w:pPr>
            <w:r>
              <w:t xml:space="preserve">before or during sexual escalation</w:t>
            </w:r>
          </w:p>
        </w:tc>
        <w:tc>
          <w:tcPr/>
          <w:p>
            <w:pPr>
              <w:pStyle w:val="Compact"/>
              <w:jc w:val="left"/>
            </w:pPr>
            <w:r>
              <w:t xml:space="preserve">child amnesty wall; adult target path</w:t>
            </w:r>
          </w:p>
        </w:tc>
      </w:tr>
      <w:tr>
        <w:tc>
          <w:tcPr/>
          <w:p>
            <w:pPr>
              <w:pStyle w:val="Compact"/>
              <w:jc w:val="left"/>
            </w:pPr>
            <w:r>
              <w:t xml:space="preserve">The Shame Pipe</w:t>
            </w:r>
          </w:p>
        </w:tc>
        <w:tc>
          <w:tcPr/>
          <w:p>
            <w:pPr>
              <w:pStyle w:val="Compact"/>
              <w:jc w:val="left"/>
            </w:pPr>
            <w:r>
              <w:t xml:space="preserve">CSAM category pulls neighbouring objects into shame routing</w:t>
            </w:r>
          </w:p>
        </w:tc>
        <w:tc>
          <w:tcPr/>
          <w:p>
            <w:pPr>
              <w:pStyle w:val="Compact"/>
              <w:jc w:val="left"/>
            </w:pPr>
            <w:r>
              <w:t xml:space="preserve">around CSAM enforcement, archives, platforms, records</w:t>
            </w:r>
          </w:p>
        </w:tc>
        <w:tc>
          <w:tcPr/>
          <w:p>
            <w:pPr>
              <w:pStyle w:val="Compact"/>
              <w:jc w:val="left"/>
            </w:pPr>
            <w:r>
              <w:t xml:space="preserve">role labels; reason codes; adjacency limits</w:t>
            </w:r>
          </w:p>
        </w:tc>
      </w:tr>
    </w:tbl>
    <w:p>
      <w:pPr>
        <w:pStyle w:val="BodyText"/>
      </w:pPr>
      <w:r>
        <w:t xml:space="preserve">Destroy the Leverage acts before CSAM. It tries to remove non-sexual leverage before sexual blackmail or CSAM production occurs.</w:t>
      </w:r>
    </w:p>
    <w:p>
      <w:pPr>
        <w:pStyle w:val="BodyText"/>
      </w:pPr>
      <w:r>
        <w:t xml:space="preserve">The Shame Pipe acts around CSAM adjacency after maximum-force routing begins. It tries to stop role collapse when records, archives, platforms, and institutions handle material near a maximum-consensus harm.</w:t>
      </w:r>
    </w:p>
    <w:p>
      <w:pPr>
        <w:pStyle w:val="BodyText"/>
      </w:pPr>
      <w:r>
        <w:t xml:space="preserve">Both need the same custody discipline:</w:t>
      </w:r>
    </w:p>
    <w:p>
      <w:pPr>
        <w:pStyle w:val="SourceCode"/>
      </w:pPr>
      <w:r>
        <w:rPr>
          <w:rStyle w:val="VerbatimChar"/>
        </w:rPr>
        <w:t xml:space="preserve">hold child, fact, adult, record, role, act, and evidence apart</w:t>
      </w:r>
    </w:p>
    <w:bookmarkEnd w:id="34"/>
    <w:bookmarkStart w:id="35" w:name="agency-protocol-table"/>
    <w:p>
      <w:pPr>
        <w:pStyle w:val="Heading2"/>
      </w:pPr>
      <w:r>
        <w:t xml:space="preserve">12. Agency protocol table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Agency</w:t>
            </w:r>
          </w:p>
        </w:tc>
        <w:tc>
          <w:tcPr/>
          <w:p>
            <w:pPr>
              <w:pStyle w:val="Compact"/>
              <w:jc w:val="left"/>
            </w:pPr>
            <w:r>
              <w:t xml:space="preserve">Protected fact</w:t>
            </w:r>
          </w:p>
        </w:tc>
        <w:tc>
          <w:tcPr/>
          <w:p>
            <w:pPr>
              <w:pStyle w:val="Compact"/>
              <w:jc w:val="left"/>
            </w:pPr>
            <w:r>
              <w:t xml:space="preserve">Barred use</w:t>
            </w:r>
          </w:p>
        </w:tc>
        <w:tc>
          <w:tcPr/>
          <w:p>
            <w:pPr>
              <w:pStyle w:val="Compact"/>
              <w:jc w:val="left"/>
            </w:pPr>
            <w:r>
              <w:t xml:space="preserve">Permitted use</w:t>
            </w:r>
          </w:p>
        </w:tc>
        <w:tc>
          <w:tcPr/>
          <w:p>
            <w:pPr>
              <w:pStyle w:val="Compact"/>
              <w:jc w:val="left"/>
            </w:pPr>
            <w:r>
              <w:t xml:space="preserve">Adult target path</w:t>
            </w:r>
          </w:p>
        </w:tc>
      </w:tr>
      <w:tr>
        <w:tc>
          <w:tcPr/>
          <w:p>
            <w:pPr>
              <w:pStyle w:val="Compact"/>
              <w:jc w:val="left"/>
            </w:pPr>
            <w:r>
              <w:t xml:space="preserve">Police</w:t>
            </w:r>
          </w:p>
        </w:tc>
        <w:tc>
          <w:tcPr/>
          <w:p>
            <w:pPr>
              <w:pStyle w:val="Compact"/>
              <w:jc w:val="left"/>
            </w:pPr>
            <w:r>
              <w:t xml:space="preserve">child drug use, possession, debt, coerced carrying</w:t>
            </w:r>
          </w:p>
        </w:tc>
        <w:tc>
          <w:tcPr/>
          <w:p>
            <w:pPr>
              <w:pStyle w:val="Compact"/>
              <w:jc w:val="left"/>
            </w:pPr>
            <w:r>
              <w:t xml:space="preserve">arrest or charge for protected fact</w:t>
            </w:r>
          </w:p>
        </w:tc>
        <w:tc>
          <w:tcPr/>
          <w:p>
            <w:pPr>
              <w:pStyle w:val="Compact"/>
              <w:jc w:val="left"/>
            </w:pPr>
            <w:r>
              <w:t xml:space="preserve">safeguarding route, evidence preservation</w:t>
            </w:r>
          </w:p>
        </w:tc>
        <w:tc>
          <w:tcPr/>
          <w:p>
            <w:pPr>
              <w:pStyle w:val="Compact"/>
              <w:jc w:val="left"/>
            </w:pPr>
            <w:r>
              <w:t xml:space="preserve">supplier, exploiter, debt-holder, trafficker, blackmailer</w:t>
            </w:r>
          </w:p>
        </w:tc>
      </w:tr>
      <w:tr>
        <w:tc>
          <w:tcPr/>
          <w:p>
            <w:pPr>
              <w:pStyle w:val="Compact"/>
              <w:jc w:val="left"/>
            </w:pPr>
            <w:r>
              <w:t xml:space="preserve">School</w:t>
            </w:r>
          </w:p>
        </w:tc>
        <w:tc>
          <w:tcPr/>
          <w:p>
            <w:pPr>
              <w:pStyle w:val="Compact"/>
              <w:jc w:val="left"/>
            </w:pPr>
            <w:r>
              <w:t xml:space="preserve">drug-linked image, message, room, peer pressure</w:t>
            </w:r>
          </w:p>
        </w:tc>
        <w:tc>
          <w:tcPr/>
          <w:p>
            <w:pPr>
              <w:pStyle w:val="Compact"/>
              <w:jc w:val="left"/>
            </w:pPr>
            <w:r>
              <w:t xml:space="preserve">exclusion or discipline for protected fact</w:t>
            </w:r>
          </w:p>
        </w:tc>
        <w:tc>
          <w:tcPr/>
          <w:p>
            <w:pPr>
              <w:pStyle w:val="Compact"/>
              <w:jc w:val="left"/>
            </w:pPr>
            <w:r>
              <w:t xml:space="preserve">pastoral support, safeguarding referral</w:t>
            </w:r>
          </w:p>
        </w:tc>
        <w:tc>
          <w:tcPr/>
          <w:p>
            <w:pPr>
              <w:pStyle w:val="Compact"/>
              <w:jc w:val="left"/>
            </w:pPr>
            <w:r>
              <w:t xml:space="preserve">adult or older-youth coercion path where present</w:t>
            </w:r>
          </w:p>
        </w:tc>
      </w:tr>
      <w:tr>
        <w:tc>
          <w:tcPr/>
          <w:p>
            <w:pPr>
              <w:pStyle w:val="Compact"/>
              <w:jc w:val="left"/>
            </w:pPr>
            <w:r>
              <w:t xml:space="preserve">Health</w:t>
            </w:r>
          </w:p>
        </w:tc>
        <w:tc>
          <w:tcPr/>
          <w:p>
            <w:pPr>
              <w:pStyle w:val="Compact"/>
              <w:jc w:val="left"/>
            </w:pPr>
            <w:r>
              <w:t xml:space="preserve">intoxication, drug disclosure, fear of debt</w:t>
            </w:r>
          </w:p>
        </w:tc>
        <w:tc>
          <w:tcPr/>
          <w:p>
            <w:pPr>
              <w:pStyle w:val="Compact"/>
              <w:jc w:val="left"/>
            </w:pPr>
            <w:r>
              <w:t xml:space="preserve">punitive referral for protected fact</w:t>
            </w:r>
          </w:p>
        </w:tc>
        <w:tc>
          <w:tcPr/>
          <w:p>
            <w:pPr>
              <w:pStyle w:val="Compact"/>
              <w:jc w:val="left"/>
            </w:pPr>
            <w:r>
              <w:t xml:space="preserve">treatment, safety planning, exploitation screen</w:t>
            </w:r>
          </w:p>
        </w:tc>
        <w:tc>
          <w:tcPr/>
          <w:p>
            <w:pPr>
              <w:pStyle w:val="Compact"/>
              <w:jc w:val="left"/>
            </w:pPr>
            <w:r>
              <w:t xml:space="preserve">coercer, supplier, sexual exploiter</w:t>
            </w:r>
          </w:p>
        </w:tc>
      </w:tr>
      <w:tr>
        <w:tc>
          <w:tcPr/>
          <w:p>
            <w:pPr>
              <w:pStyle w:val="Compact"/>
              <w:jc w:val="left"/>
            </w:pPr>
            <w:r>
              <w:t xml:space="preserve">Social care</w:t>
            </w:r>
          </w:p>
        </w:tc>
        <w:tc>
          <w:tcPr/>
          <w:p>
            <w:pPr>
              <w:pStyle w:val="Compact"/>
              <w:jc w:val="left"/>
            </w:pPr>
            <w:r>
              <w:t xml:space="preserve">storage, carrying, contact with drug-linked adults</w:t>
            </w:r>
          </w:p>
        </w:tc>
        <w:tc>
          <w:tcPr/>
          <w:p>
            <w:pPr>
              <w:pStyle w:val="Compact"/>
              <w:jc w:val="left"/>
            </w:pPr>
            <w:r>
              <w:t xml:space="preserve">placement penalty or blame frame</w:t>
            </w:r>
          </w:p>
        </w:tc>
        <w:tc>
          <w:tcPr/>
          <w:p>
            <w:pPr>
              <w:pStyle w:val="Compact"/>
              <w:jc w:val="left"/>
            </w:pPr>
            <w:r>
              <w:t xml:space="preserve">child protection assessment</w:t>
            </w:r>
          </w:p>
        </w:tc>
        <w:tc>
          <w:tcPr/>
          <w:p>
            <w:pPr>
              <w:pStyle w:val="Compact"/>
              <w:jc w:val="left"/>
            </w:pPr>
            <w:r>
              <w:t xml:space="preserve">adult network and household pressure</w:t>
            </w:r>
          </w:p>
        </w:tc>
      </w:tr>
      <w:tr>
        <w:tc>
          <w:tcPr/>
          <w:p>
            <w:pPr>
              <w:pStyle w:val="Compact"/>
              <w:jc w:val="left"/>
            </w:pPr>
            <w:r>
              <w:t xml:space="preserve">Immigration / housing</w:t>
            </w:r>
          </w:p>
        </w:tc>
        <w:tc>
          <w:tcPr/>
          <w:p>
            <w:pPr>
              <w:pStyle w:val="Compact"/>
              <w:jc w:val="left"/>
            </w:pPr>
            <w:r>
              <w:t xml:space="preserve">drug-linked records discovered through help-seeking</w:t>
            </w:r>
          </w:p>
        </w:tc>
        <w:tc>
          <w:tcPr/>
          <w:p>
            <w:pPr>
              <w:pStyle w:val="Compact"/>
              <w:jc w:val="left"/>
            </w:pPr>
            <w:r>
              <w:t xml:space="preserve">status, housing, or benefit penalty</w:t>
            </w:r>
          </w:p>
        </w:tc>
        <w:tc>
          <w:tcPr/>
          <w:p>
            <w:pPr>
              <w:pStyle w:val="Compact"/>
              <w:jc w:val="left"/>
            </w:pPr>
            <w:r>
              <w:t xml:space="preserve">safe accommodation and legal support route</w:t>
            </w:r>
          </w:p>
        </w:tc>
        <w:tc>
          <w:tcPr/>
          <w:p>
            <w:pPr>
              <w:pStyle w:val="Compact"/>
              <w:jc w:val="left"/>
            </w:pPr>
            <w:r>
              <w:t xml:space="preserve">adult coercion and trafficking path</w:t>
            </w:r>
          </w:p>
        </w:tc>
      </w:tr>
      <w:tr>
        <w:tc>
          <w:tcPr/>
          <w:p>
            <w:pPr>
              <w:pStyle w:val="Compact"/>
              <w:jc w:val="left"/>
            </w:pPr>
            <w:r>
              <w:t xml:space="preserve">Platforms</w:t>
            </w:r>
          </w:p>
        </w:tc>
        <w:tc>
          <w:tcPr/>
          <w:p>
            <w:pPr>
              <w:pStyle w:val="Compact"/>
              <w:jc w:val="left"/>
            </w:pPr>
            <w:r>
              <w:t xml:space="preserve">drug image, chat, location, threat record</w:t>
            </w:r>
          </w:p>
        </w:tc>
        <w:tc>
          <w:tcPr/>
          <w:p>
            <w:pPr>
              <w:pStyle w:val="Compact"/>
              <w:jc w:val="left"/>
            </w:pPr>
            <w:r>
              <w:t xml:space="preserve">account punishment of child by default</w:t>
            </w:r>
          </w:p>
        </w:tc>
        <w:tc>
          <w:tcPr/>
          <w:p>
            <w:pPr>
              <w:pStyle w:val="Compact"/>
              <w:jc w:val="left"/>
            </w:pPr>
            <w:r>
              <w:t xml:space="preserve">preservation, triage, child safety referral</w:t>
            </w:r>
          </w:p>
        </w:tc>
        <w:tc>
          <w:tcPr/>
          <w:p>
            <w:pPr>
              <w:pStyle w:val="Compact"/>
              <w:jc w:val="left"/>
            </w:pPr>
            <w:r>
              <w:t xml:space="preserve">adult account, threat sender, network</w:t>
            </w:r>
          </w:p>
        </w:tc>
      </w:tr>
      <w:tr>
        <w:tc>
          <w:tcPr/>
          <w:p>
            <w:pPr>
              <w:pStyle w:val="Compact"/>
              <w:jc w:val="left"/>
            </w:pPr>
            <w:r>
              <w:t xml:space="preserve">CSAM investigators</w:t>
            </w:r>
          </w:p>
        </w:tc>
        <w:tc>
          <w:tcPr/>
          <w:p>
            <w:pPr>
              <w:pStyle w:val="Compact"/>
              <w:jc w:val="left"/>
            </w:pPr>
            <w:r>
              <w:t xml:space="preserve">non-sexual leverage material near sexual exploitation</w:t>
            </w:r>
          </w:p>
        </w:tc>
        <w:tc>
          <w:tcPr/>
          <w:p>
            <w:pPr>
              <w:pStyle w:val="Compact"/>
              <w:jc w:val="left"/>
            </w:pPr>
            <w:r>
              <w:t xml:space="preserve">treating drug fact as child guilt</w:t>
            </w:r>
          </w:p>
        </w:tc>
        <w:tc>
          <w:tcPr/>
          <w:p>
            <w:pPr>
              <w:pStyle w:val="Compact"/>
              <w:jc w:val="left"/>
            </w:pPr>
            <w:r>
              <w:t xml:space="preserve">map escalation chain</w:t>
            </w:r>
          </w:p>
        </w:tc>
        <w:tc>
          <w:tcPr/>
          <w:p>
            <w:pPr>
              <w:pStyle w:val="Compact"/>
              <w:jc w:val="left"/>
            </w:pPr>
            <w:r>
              <w:t xml:space="preserve">adult sexual exploitation, extortion, image abuse</w:t>
            </w:r>
          </w:p>
        </w:tc>
      </w:tr>
    </w:tbl>
    <w:p>
      <w:pPr>
        <w:pStyle w:val="BodyText"/>
      </w:pPr>
      <w:r>
        <w:t xml:space="preserve">This table is a policy skeleton. Jurisdictions will need their own statutory language, data limits, and review rules. The principle holds: protected facts move away from child punishment and toward adult exploitation inquiry.</w:t>
      </w:r>
    </w:p>
    <w:bookmarkEnd w:id="35"/>
    <w:bookmarkStart w:id="36" w:name="implementation-now"/>
    <w:p>
      <w:pPr>
        <w:pStyle w:val="Heading2"/>
      </w:pPr>
      <w:r>
        <w:t xml:space="preserve">13. Implementation now</w:t>
      </w:r>
    </w:p>
    <w:p>
      <w:pPr>
        <w:pStyle w:val="FirstParagraph"/>
      </w:pPr>
      <w:r>
        <w:t xml:space="preserve">Governments do not need to wait for full drug-law reform to act.</w:t>
      </w:r>
    </w:p>
    <w:p>
      <w:pPr>
        <w:pStyle w:val="BodyText"/>
      </w:pPr>
      <w:r>
        <w:t xml:space="preserve">Immediate instruments include:</w:t>
      </w:r>
    </w:p>
    <w:p>
      <w:pPr>
        <w:pStyle w:val="Compact"/>
        <w:numPr>
          <w:ilvl w:val="0"/>
          <w:numId w:val="1006"/>
        </w:numPr>
      </w:pPr>
      <w:r>
        <w:t xml:space="preserve">statutory protection for children who disclose drug-linked facts in exploitation or safeguarding contexts;</w:t>
      </w:r>
    </w:p>
    <w:p>
      <w:pPr>
        <w:pStyle w:val="Compact"/>
        <w:numPr>
          <w:ilvl w:val="0"/>
          <w:numId w:val="1006"/>
        </w:numPr>
      </w:pPr>
      <w:r>
        <w:t xml:space="preserve">police charging guidance barring drug charges against children for protected facts;</w:t>
      </w:r>
    </w:p>
    <w:p>
      <w:pPr>
        <w:pStyle w:val="Compact"/>
        <w:numPr>
          <w:ilvl w:val="0"/>
          <w:numId w:val="1006"/>
        </w:numPr>
      </w:pPr>
      <w:r>
        <w:t xml:space="preserve">school guidance barring exclusion for protected facts;</w:t>
      </w:r>
    </w:p>
    <w:p>
      <w:pPr>
        <w:pStyle w:val="Compact"/>
        <w:numPr>
          <w:ilvl w:val="0"/>
          <w:numId w:val="1006"/>
        </w:numPr>
      </w:pPr>
      <w:r>
        <w:t xml:space="preserve">health and safeguarding guidance barring punitive referral of protected facts;</w:t>
      </w:r>
    </w:p>
    <w:p>
      <w:pPr>
        <w:pStyle w:val="Compact"/>
        <w:numPr>
          <w:ilvl w:val="0"/>
          <w:numId w:val="1006"/>
        </w:numPr>
      </w:pPr>
      <w:r>
        <w:t xml:space="preserve">immigration and housing guidance barring penalty from protected facts;</w:t>
      </w:r>
    </w:p>
    <w:p>
      <w:pPr>
        <w:pStyle w:val="Compact"/>
        <w:numPr>
          <w:ilvl w:val="0"/>
          <w:numId w:val="1006"/>
        </w:numPr>
      </w:pPr>
      <w:r>
        <w:t xml:space="preserve">platform referral protocols that treat drug-linked images of children as possible coercion evidence;</w:t>
      </w:r>
    </w:p>
    <w:p>
      <w:pPr>
        <w:pStyle w:val="Compact"/>
        <w:numPr>
          <w:ilvl w:val="0"/>
          <w:numId w:val="1006"/>
        </w:numPr>
      </w:pPr>
      <w:r>
        <w:t xml:space="preserve">prosecution guidance requiring review of adult coercion whenever child drug involvement appears beside sexual exploitation, sextortion, or image-based blackmail;</w:t>
      </w:r>
    </w:p>
    <w:p>
      <w:pPr>
        <w:pStyle w:val="Compact"/>
        <w:numPr>
          <w:ilvl w:val="0"/>
          <w:numId w:val="1006"/>
        </w:numPr>
      </w:pPr>
      <w:r>
        <w:t xml:space="preserve">data-handling rules that prevent protected facts from returning later as school, housing, immigration, care, or benefit penalties;</w:t>
      </w:r>
    </w:p>
    <w:p>
      <w:pPr>
        <w:pStyle w:val="Compact"/>
        <w:numPr>
          <w:ilvl w:val="0"/>
          <w:numId w:val="1006"/>
        </w:numPr>
      </w:pPr>
      <w:r>
        <w:t xml:space="preserve">review panels for cases where an agency wants to override wall protection;</w:t>
      </w:r>
    </w:p>
    <w:p>
      <w:pPr>
        <w:pStyle w:val="Compact"/>
        <w:numPr>
          <w:ilvl w:val="0"/>
          <w:numId w:val="1006"/>
        </w:numPr>
      </w:pPr>
      <w:r>
        <w:t xml:space="preserve">child-facing notices that state the wall in plain words.</w:t>
      </w:r>
    </w:p>
    <w:p>
      <w:pPr>
        <w:pStyle w:val="FirstParagraph"/>
      </w:pPr>
      <w:r>
        <w:t xml:space="preserve">Child-facing wording should be short:</w:t>
      </w:r>
    </w:p>
    <w:p>
      <w:pPr>
        <w:pStyle w:val="BlockText"/>
      </w:pPr>
      <w:r>
        <w:t xml:space="preserve">If someone is using drugs, debt, images, messages, or carrying to threaten you, you can ask for help. You should not be punished for those facts when they are part of exploitation. The adults using them against you are the target.</w:t>
      </w:r>
    </w:p>
    <w:bookmarkEnd w:id="36"/>
    <w:bookmarkStart w:id="37" w:name="test-for-agencies"/>
    <w:p>
      <w:pPr>
        <w:pStyle w:val="Heading2"/>
      </w:pPr>
      <w:r>
        <w:t xml:space="preserve">14. Test for agencies</w:t>
      </w:r>
    </w:p>
    <w:p>
      <w:pPr>
        <w:pStyle w:val="FirstParagraph"/>
      </w:pPr>
      <w:r>
        <w:t xml:space="preserve">Before using a drug-linked fact against a child, an agency should have to answer:</w:t>
      </w:r>
    </w:p>
    <w:p>
      <w:pPr>
        <w:pStyle w:val="Compact"/>
        <w:numPr>
          <w:ilvl w:val="0"/>
          <w:numId w:val="1007"/>
        </w:numPr>
      </w:pPr>
      <w:r>
        <w:t xml:space="preserve">Could this fact be part of coercion, grooming, debt, exposure threat, sexual exploitation, or child criminal exploitation?</w:t>
      </w:r>
    </w:p>
    <w:p>
      <w:pPr>
        <w:pStyle w:val="Compact"/>
        <w:numPr>
          <w:ilvl w:val="0"/>
          <w:numId w:val="1007"/>
        </w:numPr>
      </w:pPr>
      <w:r>
        <w:t xml:space="preserve">Could punishment make the child easier to control?</w:t>
      </w:r>
    </w:p>
    <w:p>
      <w:pPr>
        <w:pStyle w:val="Compact"/>
        <w:numPr>
          <w:ilvl w:val="0"/>
          <w:numId w:val="1007"/>
        </w:numPr>
      </w:pPr>
      <w:r>
        <w:t xml:space="preserve">Could this record be a pre-sexual leverage image or related handle?</w:t>
      </w:r>
    </w:p>
    <w:p>
      <w:pPr>
        <w:pStyle w:val="Compact"/>
        <w:numPr>
          <w:ilvl w:val="0"/>
          <w:numId w:val="1007"/>
        </w:numPr>
      </w:pPr>
      <w:r>
        <w:t xml:space="preserve">Has the adult exploitation pathway been investigated first?</w:t>
      </w:r>
    </w:p>
    <w:p>
      <w:pPr>
        <w:pStyle w:val="Compact"/>
        <w:numPr>
          <w:ilvl w:val="0"/>
          <w:numId w:val="1007"/>
        </w:numPr>
      </w:pPr>
      <w:r>
        <w:t xml:space="preserve">Would using this fact against the child increase the blackmail value of similar facts for other children?</w:t>
      </w:r>
    </w:p>
    <w:p>
      <w:pPr>
        <w:pStyle w:val="Compact"/>
        <w:numPr>
          <w:ilvl w:val="0"/>
          <w:numId w:val="1007"/>
        </w:numPr>
      </w:pPr>
      <w:r>
        <w:t xml:space="preserve">Would school, housing, immigration, care, or platform action make the child less likely to seek help next time?</w:t>
      </w:r>
    </w:p>
    <w:p>
      <w:pPr>
        <w:pStyle w:val="Compact"/>
        <w:numPr>
          <w:ilvl w:val="0"/>
          <w:numId w:val="1007"/>
        </w:numPr>
      </w:pPr>
      <w:r>
        <w:t xml:space="preserve">Is the proposed use of the fact necessary for child protection, or is it punishment wearing protection language?</w:t>
      </w:r>
    </w:p>
    <w:p>
      <w:pPr>
        <w:pStyle w:val="FirstParagraph"/>
      </w:pPr>
      <w:r>
        <w:t xml:space="preserve">If the answer to any of the first five is yes, the fact should not be used to punish the child. If there is uncertainty, the protected route should hold while the adult path is examined.</w:t>
      </w:r>
    </w:p>
    <w:bookmarkEnd w:id="37"/>
    <w:bookmarkStart w:id="38" w:name="good-bad-reader-fence"/>
    <w:p>
      <w:pPr>
        <w:pStyle w:val="Heading2"/>
      </w:pPr>
      <w:r>
        <w:t xml:space="preserve">15. Good Bad Reader fence</w:t>
      </w:r>
    </w:p>
    <w:p>
      <w:pPr>
        <w:pStyle w:val="FirstParagraph"/>
      </w:pPr>
      <w:r>
        <w:t xml:space="preserve">This memo is easy to misread.</w:t>
      </w:r>
    </w:p>
    <w:p>
      <w:pPr>
        <w:pStyle w:val="BodyText"/>
      </w:pPr>
      <w:r>
        <w:t xml:space="preserve">It does not say children are above all law.</w:t>
      </w:r>
    </w:p>
    <w:p>
      <w:pPr>
        <w:pStyle w:val="BodyText"/>
      </w:pPr>
      <w:r>
        <w:t xml:space="preserve">It does not say agencies should ignore drug-linked records.</w:t>
      </w:r>
    </w:p>
    <w:p>
      <w:pPr>
        <w:pStyle w:val="BodyText"/>
      </w:pPr>
      <w:r>
        <w:t xml:space="preserve">It does not say adults who supply drugs to children should receive leniency.</w:t>
      </w:r>
    </w:p>
    <w:p>
      <w:pPr>
        <w:pStyle w:val="BodyText"/>
      </w:pPr>
      <w:r>
        <w:t xml:space="preserve">It does not say CSAM enforcement should weaken.</w:t>
      </w:r>
    </w:p>
    <w:p>
      <w:pPr>
        <w:pStyle w:val="BodyText"/>
      </w:pPr>
      <w:r>
        <w:t xml:space="preserve">It says something narrower and stronger:</w:t>
      </w:r>
    </w:p>
    <w:p>
      <w:pPr>
        <w:pStyle w:val="SourceCode"/>
      </w:pPr>
      <w:r>
        <w:rPr>
          <w:rStyle w:val="VerbatimChar"/>
        </w:rPr>
        <w:t xml:space="preserve">If a drug-linked fact can be used to control a child,</w:t>
      </w:r>
      <w:r>
        <w:br/>
      </w:r>
      <w:r>
        <w:rPr>
          <w:rStyle w:val="VerbatimChar"/>
        </w:rPr>
        <w:t xml:space="preserve">the state should not help that fact remain a threat.</w:t>
      </w:r>
    </w:p>
    <w:p>
      <w:pPr>
        <w:pStyle w:val="FirstParagraph"/>
      </w:pPr>
      <w:r>
        <w:t xml:space="preserve">This is not child impunity for adult exploiters. It is force moved away from the child and onto the exploiter.</w:t>
      </w:r>
    </w:p>
    <w:bookmarkEnd w:id="38"/>
    <w:bookmarkStart w:id="39" w:name="why-this-is-a-csam-prevention-measure"/>
    <w:p>
      <w:pPr>
        <w:pStyle w:val="Heading2"/>
      </w:pPr>
      <w:r>
        <w:t xml:space="preserve">16. Why this is a CSAM prevention measure</w:t>
      </w:r>
    </w:p>
    <w:p>
      <w:pPr>
        <w:pStyle w:val="FirstParagraph"/>
      </w:pPr>
      <w:r>
        <w:t xml:space="preserve">Online sexual extortion is already a major child-protection concern. NSPCC material describes sexual extortion as abuse that can escalate and harm young people [4]. IWF and Childline’s Report Remove data showed a record number of UK under-18 reports in 2025, with 1,894 reports from children and young people involving nude or sexual imagery of themselves and a 66 percent year-on-year rise [5]. NCMEC reported 21.3 million CyberTipline reports in 2025 involving more than 61.8 million files related to suspected child sexual exploitation [6].</w:t>
      </w:r>
    </w:p>
    <w:p>
      <w:pPr>
        <w:pStyle w:val="BodyText"/>
      </w:pPr>
      <w:r>
        <w:t xml:space="preserve">But sexual material is often not the first handle. A drug image can come first. A drug debt can come first. A threat to tell school, family, police, immigration authorities, or social services can come first. Then the demand escalates.</w:t>
      </w:r>
    </w:p>
    <w:p>
      <w:pPr>
        <w:pStyle w:val="BodyText"/>
      </w:pPr>
      <w:r>
        <w:t xml:space="preserve">Reducing CSAM therefore requires reducing non-sexual leverage too.</w:t>
      </w:r>
    </w:p>
    <w:bookmarkEnd w:id="39"/>
    <w:bookmarkStart w:id="40" w:name="longer-direction"/>
    <w:p>
      <w:pPr>
        <w:pStyle w:val="Heading2"/>
      </w:pPr>
      <w:r>
        <w:t xml:space="preserve">17. Longer direction</w:t>
      </w:r>
    </w:p>
    <w:p>
      <w:pPr>
        <w:pStyle w:val="FirstParagraph"/>
      </w:pPr>
      <w:r>
        <w:t xml:space="preserve">The long-term answer is ending prohibition for consenting adults: consenting adult consumption and consensual adult supply should leave criminal law.</w:t>
      </w:r>
    </w:p>
    <w:p>
      <w:pPr>
        <w:pStyle w:val="BodyText"/>
      </w:pPr>
      <w:r>
        <w:t xml:space="preserve">This memo does not depend on a full drug-law settlement. Its narrower claim is enough: even under current politics, governments can reduce child blackmail now.</w:t>
      </w:r>
    </w:p>
    <w:p>
      <w:pPr>
        <w:pStyle w:val="BodyText"/>
      </w:pPr>
      <w:r>
        <w:t xml:space="preserve">End the punishment threat. Destroy the leverage.</w:t>
      </w:r>
    </w:p>
    <w:bookmarkEnd w:id="40"/>
    <w:bookmarkStart w:id="41" w:name="conclusion"/>
    <w:p>
      <w:pPr>
        <w:pStyle w:val="Heading2"/>
      </w:pPr>
      <w:r>
        <w:t xml:space="preserve">18. Conclusion</w:t>
      </w:r>
    </w:p>
    <w:p>
      <w:pPr>
        <w:pStyle w:val="FirstParagraph"/>
      </w:pPr>
      <w:r>
        <w:t xml:space="preserve">Drug prohibition gives adult exploiters a cheap handle. They can threaten a child with school discipline, family shame, arrest, immigration harm, housing loss, or disbelief before any sexual image exists. That first handle can become silence. Silence can become sexual demand. Sexual demand can become CSAM.</w:t>
      </w:r>
    </w:p>
    <w:p>
      <w:pPr>
        <w:pStyle w:val="BodyText"/>
      </w:pPr>
      <w:r>
        <w:t xml:space="preserve">The amnesty wall breaks the sequence.</w:t>
      </w:r>
    </w:p>
    <w:p>
      <w:pPr>
        <w:pStyle w:val="BodyText"/>
      </w:pPr>
      <w:r>
        <w:t xml:space="preserve">It tells the child: the protected drug-linked fact will not be used to punish you when it appears through exploitation, safeguarding, medical, school, platform, or CSAM routes.</w:t>
      </w:r>
    </w:p>
    <w:p>
      <w:pPr>
        <w:pStyle w:val="BodyText"/>
      </w:pPr>
      <w:r>
        <w:t xml:space="preserve">It tells the adult exploiter: the handle no longer works.</w:t>
      </w:r>
    </w:p>
    <w:p>
      <w:pPr>
        <w:pStyle w:val="BodyText"/>
      </w:pPr>
      <w:r>
        <w:t xml:space="preserve">It tells agencies: do not punish the child for the evidence that points to adult coercion.</w:t>
      </w:r>
    </w:p>
    <w:p>
      <w:pPr>
        <w:pStyle w:val="BodyText"/>
      </w:pPr>
      <w:r>
        <w:t xml:space="preserve">The final rule is small enough to carry:</w:t>
      </w:r>
    </w:p>
    <w:p>
      <w:pPr>
        <w:pStyle w:val="BlockText"/>
      </w:pPr>
      <w:r>
        <w:t xml:space="preserve">Remove the threat from the child. Follow the threat back to the adult.</w:t>
      </w:r>
    </w:p>
    <w:bookmarkEnd w:id="41"/>
    <w:bookmarkStart w:id="42" w:name="references"/>
    <w:p>
      <w:pPr>
        <w:pStyle w:val="Heading2"/>
      </w:pPr>
      <w:r>
        <w:t xml:space="preserve">References</w:t>
      </w:r>
    </w:p>
    <w:p>
      <w:pPr>
        <w:pStyle w:val="FirstParagraph"/>
      </w:pPr>
      <w:r>
        <w:t xml:space="preserve">[1] UK Home Office.</w:t>
      </w:r>
      <w:r>
        <w:t xml:space="preserve"> </w:t>
      </w:r>
      <w:r>
        <w:t xml:space="preserve">“</w:t>
      </w:r>
      <w:r>
        <w:t xml:space="preserve">Criminal exploitation of children and vulnerable adults: county lines.</w:t>
      </w:r>
      <w:r>
        <w:t xml:space="preserve">”</w:t>
      </w:r>
      <w:r>
        <w:t xml:space="preserve"> </w:t>
      </w:r>
      <w:r>
        <w:t xml:space="preserve">GOV.UK, 20 October 2023. https://www.gov.uk/government/publications/criminal-exploitation-of-children-and-vulnerable-adults-county-lines/criminal-exploitation-of-children-and-vulnerable-adults-county-lines</w:t>
      </w:r>
    </w:p>
    <w:p>
      <w:pPr>
        <w:pStyle w:val="BodyText"/>
      </w:pPr>
      <w:r>
        <w:t xml:space="preserve">[2] NSPCC Learning.</w:t>
      </w:r>
      <w:r>
        <w:t xml:space="preserve"> </w:t>
      </w:r>
      <w:r>
        <w:t xml:space="preserve">“</w:t>
      </w:r>
      <w:r>
        <w:t xml:space="preserve">Protecting children from child criminal exploitation.</w:t>
      </w:r>
      <w:r>
        <w:t xml:space="preserve">”</w:t>
      </w:r>
      <w:r>
        <w:t xml:space="preserve"> </w:t>
      </w:r>
      <w:r>
        <w:t xml:space="preserve">Last updated 9 September 2025. https://learning.nspcc.org.uk/child-abuse-and-neglect/child-criminal-exploitation</w:t>
      </w:r>
    </w:p>
    <w:p>
      <w:pPr>
        <w:pStyle w:val="BodyText"/>
      </w:pPr>
      <w:r>
        <w:t xml:space="preserve">[3] NSPCC Learning.</w:t>
      </w:r>
      <w:r>
        <w:t xml:space="preserve"> </w:t>
      </w:r>
      <w:r>
        <w:t xml:space="preserve">“</w:t>
      </w:r>
      <w:r>
        <w:t xml:space="preserve">Protecting children from county lines.</w:t>
      </w:r>
      <w:r>
        <w:t xml:space="preserve">”</w:t>
      </w:r>
      <w:r>
        <w:t xml:space="preserve"> </w:t>
      </w:r>
      <w:r>
        <w:t xml:space="preserve">Last updated 18 February 2025. https://learning.nspcc.org.uk/child-abuse-and-neglect/county-lines</w:t>
      </w:r>
    </w:p>
    <w:p>
      <w:pPr>
        <w:pStyle w:val="BodyText"/>
      </w:pPr>
      <w:r>
        <w:t xml:space="preserve">[4] NSPCC Learning.</w:t>
      </w:r>
      <w:r>
        <w:t xml:space="preserve"> </w:t>
      </w:r>
      <w:r>
        <w:t xml:space="preserve">“</w:t>
      </w:r>
      <w:r>
        <w:t xml:space="preserve">Young people’s experiences of online sexual extortion or</w:t>
      </w:r>
      <w:r>
        <w:t xml:space="preserve"> </w:t>
      </w:r>
      <w:r>
        <w:t xml:space="preserve">‘</w:t>
      </w:r>
      <w:r>
        <w:t xml:space="preserve">sextortion</w:t>
      </w:r>
      <w:r>
        <w:t xml:space="preserve">’</w:t>
      </w:r>
      <w:r>
        <w:t xml:space="preserve">.</w:t>
      </w:r>
      <w:r>
        <w:t xml:space="preserve">”</w:t>
      </w:r>
      <w:r>
        <w:t xml:space="preserve"> </w:t>
      </w:r>
      <w:r>
        <w:t xml:space="preserve">2024. https://learning.nspcc.org.uk/research-resources/2024/young-people-experiences-online-sexual-extortion</w:t>
      </w:r>
    </w:p>
    <w:p>
      <w:pPr>
        <w:pStyle w:val="BodyText"/>
      </w:pPr>
      <w:r>
        <w:t xml:space="preserve">[5] Internet Watch Foundation.</w:t>
      </w:r>
      <w:r>
        <w:t xml:space="preserve"> </w:t>
      </w:r>
      <w:r>
        <w:t xml:space="preserve">“</w:t>
      </w:r>
      <w:r>
        <w:t xml:space="preserve">Nine reports a week from UK children facing online</w:t>
      </w:r>
      <w:r>
        <w:t xml:space="preserve"> </w:t>
      </w:r>
      <w:r>
        <w:t xml:space="preserve">‘</w:t>
      </w:r>
      <w:r>
        <w:t xml:space="preserve">sextortion</w:t>
      </w:r>
      <w:r>
        <w:t xml:space="preserve">’</w:t>
      </w:r>
      <w:r>
        <w:t xml:space="preserve"> </w:t>
      </w:r>
      <w:r>
        <w:t xml:space="preserve">as charity warns record year just</w:t>
      </w:r>
      <w:r>
        <w:t xml:space="preserve"> </w:t>
      </w:r>
      <w:r>
        <w:t xml:space="preserve">‘</w:t>
      </w:r>
      <w:r>
        <w:t xml:space="preserve">tip of the iceberg</w:t>
      </w:r>
      <w:r>
        <w:t xml:space="preserve">’</w:t>
      </w:r>
      <w:r>
        <w:t xml:space="preserve">.</w:t>
      </w:r>
      <w:r>
        <w:t xml:space="preserve">”</w:t>
      </w:r>
      <w:r>
        <w:t xml:space="preserve"> </w:t>
      </w:r>
      <w:r>
        <w:t xml:space="preserve">7 April 2026. https://www.iwf.org.uk/news-media/news/nine-reports-a-week-from-uk-children-facing-online-sextortion-as-charity-warns-record-year-just-tip-of-the-iceberg/</w:t>
      </w:r>
    </w:p>
    <w:p>
      <w:pPr>
        <w:pStyle w:val="BodyText"/>
      </w:pPr>
      <w:r>
        <w:t xml:space="preserve">[6] National Center for Missing and Exploited Children.</w:t>
      </w:r>
      <w:r>
        <w:t xml:space="preserve"> </w:t>
      </w:r>
      <w:r>
        <w:t xml:space="preserve">“</w:t>
      </w:r>
      <w:r>
        <w:t xml:space="preserve">The Work Never Stops: A First Look at NCMEC’s 2025 Data.</w:t>
      </w:r>
      <w:r>
        <w:t xml:space="preserve">”</w:t>
      </w:r>
      <w:r>
        <w:t xml:space="preserve"> </w:t>
      </w:r>
      <w:r>
        <w:t xml:space="preserve">31 March 2026. https://www.missingkids.org/blog/2026/the-work-never-stops-first-look-at-ncmecs-2025-data</w:t>
      </w:r>
    </w:p>
    <w:bookmarkEnd w:id="42"/>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2026-06-24T23:25:49Z</dcterms:created>
  <dcterms:modified xsi:type="dcterms:W3CDTF">2026-06-24T23:25:49Z</dcterms:modified>
</cp:coreProperties>
</file>

<file path=docProps/custom.xml><?xml version="1.0" encoding="utf-8"?>
<Properties xmlns="http://schemas.openxmlformats.org/officeDocument/2006/custom-properties" xmlns:vt="http://schemas.openxmlformats.org/officeDocument/2006/docPropsVTypes"/>
</file>