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4"/>
        </w:rPr>
        <w:t>Does AI Cause First-Episode Psychosis? A Null-Hypothesis Framework with Object Preservation, Refusal, and Frame-Contamination Controls</w:t>
      </w:r>
    </w:p>
    <w:p>
      <w:pPr>
        <w:jc w:val="center"/>
      </w:pPr>
      <w:r>
        <w:rPr>
          <w:rFonts w:ascii="Aptos" w:hAnsi="Aptos"/>
          <w:i/>
          <w:sz w:val="22"/>
        </w:rPr>
        <w:t>Fork 1: Design-framework version, v0.1</w:t>
      </w:r>
    </w:p>
    <w:p>
      <w:pPr>
        <w:jc w:val="center"/>
      </w:pPr>
      <w:r>
        <w:rPr>
          <w:rFonts w:ascii="Aptos" w:hAnsi="Aptos"/>
          <w:sz w:val="19"/>
        </w:rPr>
        <w:t>Prepared as a hypothesis and design-framework manuscript draft</w:t>
      </w:r>
    </w:p>
    <w:p>
      <w:pPr>
        <w:pStyle w:val="Heading1"/>
      </w:pPr>
      <w:r>
        <w:t>Abstract</w:t>
      </w:r>
    </w:p>
    <w:p>
      <w:pPr>
        <w:spacing w:after="120" w:line="259" w:lineRule="auto"/>
      </w:pPr>
      <w:r>
        <w:t>Public discussion increasingly links artificial intelligence exposure, chatbot use, and anti-AI sentiment to first-episode psychosis. This fork retains the null-hypothesis framework of the main paper, while adding a design vocabulary for reducing object substitution and frame contamination in AI-mediated mental health discourse. The central null hypothesis is that AI exposure and anti-AI sentiment are not independent causal risk factors for diagnosed first-episode psychosis, schizophrenia-spectrum outcomes, mania, hypomania, psychotic mania, or affective psychosis after accounting for bullying, social defeat, prodromal symptoms, sleep disruption, substance use, baseline vulnerability, online conflict, and frame contamination. The design fork adds four conceptual controls: Mogri, ADUTI, REFRI, and AMPHI. These terms are treated as design heuristics, not as clinical evidence. Mogri preserves unresolved intent without premature substitution. ADUTI audits whether input and output preserve role, intent, and constraints. REFRI refuses transformations that swap the user object for a proxy. AMPHI guards against imported frames, especially unrequested clinical, moral, surveillance, or safety-monitoring frames. The paper argues that AI systems may shape, amplify, or archive the language of distress without causing the episode itself. Bullying and social defeat remain stronger candidate pathways than AI exposure alone. The proposed research agenda tests whether design controls reduce causal overstatement, pathologization of legitimate AI criticism, and object substitution in AI-generated discourse about psychosis risk.</w:t>
      </w:r>
    </w:p>
    <w:p>
      <w:pPr>
        <w:pStyle w:val="Heading1"/>
      </w:pPr>
      <w:r>
        <w:t>Core null hypothesis</w:t>
      </w:r>
    </w:p>
    <w:p>
      <w:pPr>
        <w:spacing w:after="120" w:line="259" w:lineRule="auto"/>
      </w:pPr>
      <w:r>
        <w:t>H0: AI exposure and anti-AI sentiment are not independent causal risk factors for diagnosed first-episode psychosis, schizophrenia-spectrum outcomes, mania, hypomania, psychotic mania, affective psychosis, brief psychotic disorder, or substance-induced psychosis after accounting for bullying, social defeat, prodromal symptoms, sleep disruption, substance use, baseline vulnerability, online conflict, and frame contamination.</w:t>
      </w:r>
    </w:p>
    <w:p>
      <w:pPr>
        <w:spacing w:after="120" w:line="259" w:lineRule="auto"/>
      </w:pPr>
      <w:r>
        <w:t>This fork keeps the main clinical claim intact. AI may be a content-shaping context, a documentation environment, or an interactional amplifier for some users, but current evidence does not justify treating AI as an established cause of first-episode psychosis. The added contribution is a design framework for reducing the ways AI systems can mis-handle user meaning.</w:t>
      </w:r>
    </w:p>
    <w:p>
      <w:pPr>
        <w:pStyle w:val="Heading1"/>
      </w:pPr>
      <w:r>
        <w:t>Required distinctions</w:t>
      </w:r>
    </w:p>
    <w:p>
      <w:pPr>
        <w:spacing w:after="120" w:line="259" w:lineRule="auto"/>
      </w:pPr>
      <w:r>
        <w:t>The framework always separates criticism, fear, activism, threat fixation, and persecutory belief. This separation protects legitimate AI criticism from being treated as illness.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Construct</w:t>
            </w:r>
          </w:p>
        </w:tc>
        <w:tc>
          <w:tcPr>
            <w:tcW w:type="dxa" w:w="3312"/>
            <w:shd w:fill="D9EAF7"/>
          </w:tcPr>
          <w:p>
            <w:r>
              <w:t>Definition</w:t>
            </w:r>
          </w:p>
        </w:tc>
        <w:tc>
          <w:tcPr>
            <w:tcW w:type="dxa" w:w="3312"/>
            <w:shd w:fill="D9EAF7"/>
          </w:tcPr>
          <w:p>
            <w:r>
              <w:t>Relevance</w:t>
            </w:r>
          </w:p>
        </w:tc>
      </w:tr>
      <w:tr>
        <w:tc>
          <w:tcPr>
            <w:tcW w:type="dxa" w:w="3312"/>
            <w:vAlign w:val="top"/>
          </w:tcPr>
          <w:p>
            <w:r>
              <w:t>AI criticism</w:t>
            </w:r>
          </w:p>
        </w:tc>
        <w:tc>
          <w:tcPr>
            <w:tcW w:type="dxa" w:w="3312"/>
            <w:vAlign w:val="top"/>
          </w:tcPr>
          <w:p>
            <w:r>
              <w:t>Reasoned objection to AI labor, privacy, safety, bias, governance, environmental cost, or epistemic harms.</w:t>
            </w:r>
          </w:p>
        </w:tc>
        <w:tc>
          <w:tcPr>
            <w:tcW w:type="dxa" w:w="3312"/>
            <w:vAlign w:val="top"/>
          </w:tcPr>
          <w:p>
            <w:r>
              <w:t>Not pathological by default.</w:t>
            </w:r>
          </w:p>
        </w:tc>
      </w:tr>
      <w:tr>
        <w:tc>
          <w:tcPr>
            <w:tcW w:type="dxa" w:w="3312"/>
            <w:vAlign w:val="top"/>
          </w:tcPr>
          <w:p>
            <w:r>
              <w:t>AI fear</w:t>
            </w:r>
          </w:p>
        </w:tc>
        <w:tc>
          <w:tcPr>
            <w:tcW w:type="dxa" w:w="3312"/>
            <w:vAlign w:val="top"/>
          </w:tcPr>
          <w:p>
            <w:r>
              <w:t>Anxiety or worry about AI systems, AI-mediated institutions, or future AI effects.</w:t>
            </w:r>
          </w:p>
        </w:tc>
        <w:tc>
          <w:tcPr>
            <w:tcW w:type="dxa" w:w="3312"/>
            <w:vAlign w:val="top"/>
          </w:tcPr>
          <w:p>
            <w:r>
              <w:t>Usually not pathological.</w:t>
            </w:r>
          </w:p>
        </w:tc>
      </w:tr>
      <w:tr>
        <w:tc>
          <w:tcPr>
            <w:tcW w:type="dxa" w:w="3312"/>
            <w:vAlign w:val="top"/>
          </w:tcPr>
          <w:p>
            <w:r>
              <w:t>Anti-AI activism</w:t>
            </w:r>
          </w:p>
        </w:tc>
        <w:tc>
          <w:tcPr>
            <w:tcW w:type="dxa" w:w="3312"/>
            <w:vAlign w:val="top"/>
          </w:tcPr>
          <w:p>
            <w:r>
              <w:t>Organized objection, protest, posting, research, tool-building, or advocacy against AI harms.</w:t>
            </w:r>
          </w:p>
        </w:tc>
        <w:tc>
          <w:tcPr>
            <w:tcW w:type="dxa" w:w="3312"/>
            <w:vAlign w:val="top"/>
          </w:tcPr>
          <w:p>
            <w:r>
              <w:t>Not pathological by default.</w:t>
            </w:r>
          </w:p>
        </w:tc>
      </w:tr>
      <w:tr>
        <w:tc>
          <w:tcPr>
            <w:tcW w:type="dxa" w:w="3312"/>
            <w:vAlign w:val="top"/>
          </w:tcPr>
          <w:p>
            <w:r>
              <w:t>AI-related threat fixation</w:t>
            </w:r>
          </w:p>
        </w:tc>
        <w:tc>
          <w:tcPr>
            <w:tcW w:type="dxa" w:w="3312"/>
            <w:vAlign w:val="top"/>
          </w:tcPr>
          <w:p>
            <w:r>
              <w:t>Recurrent, escalating, high-distress focus on AI as danger.</w:t>
            </w:r>
          </w:p>
        </w:tc>
        <w:tc>
          <w:tcPr>
            <w:tcW w:type="dxa" w:w="3312"/>
            <w:vAlign w:val="top"/>
          </w:tcPr>
          <w:p>
            <w:r>
              <w:t>Possible risk marker when paired with impairment.</w:t>
            </w:r>
          </w:p>
        </w:tc>
      </w:tr>
      <w:tr>
        <w:tc>
          <w:tcPr>
            <w:tcW w:type="dxa" w:w="3312"/>
            <w:vAlign w:val="top"/>
          </w:tcPr>
          <w:p>
            <w:r>
              <w:t>AI-related persecutory belief</w:t>
            </w:r>
          </w:p>
        </w:tc>
        <w:tc>
          <w:tcPr>
            <w:tcW w:type="dxa" w:w="3312"/>
            <w:vAlign w:val="top"/>
          </w:tcPr>
          <w:p>
            <w:r>
              <w:t>Fixed, personalized belief that AI is targeting, controlling, monitoring, or communicating with the person.</w:t>
            </w:r>
          </w:p>
        </w:tc>
        <w:tc>
          <w:tcPr>
            <w:tcW w:type="dxa" w:w="3312"/>
            <w:vAlign w:val="top"/>
          </w:tcPr>
          <w:p>
            <w:r>
              <w:t>Potential psychosis-relevant content.</w:t>
            </w:r>
          </w:p>
        </w:tc>
      </w:tr>
      <w:tr>
        <w:tc>
          <w:tcPr>
            <w:tcW w:type="dxa" w:w="3312"/>
            <w:vAlign w:val="top"/>
          </w:tcPr>
          <w:p>
            <w:r>
              <w:t>Frame contamination</w:t>
            </w:r>
          </w:p>
        </w:tc>
        <w:tc>
          <w:tcPr>
            <w:tcW w:type="dxa" w:w="3312"/>
            <w:vAlign w:val="top"/>
          </w:tcPr>
          <w:p>
            <w:r>
              <w:t>AI-related language alters how distress is interpreted, remembered, reported, or documented.</w:t>
            </w:r>
          </w:p>
        </w:tc>
        <w:tc>
          <w:tcPr>
            <w:tcW w:type="dxa" w:w="3312"/>
            <w:vAlign w:val="top"/>
          </w:tcPr>
          <w:p>
            <w:r>
              <w:t>A meaning-making mechanism, not necessarily a cause.</w:t>
            </w:r>
          </w:p>
        </w:tc>
      </w:tr>
    </w:tbl>
    <w:p/>
    <w:p>
      <w:pPr>
        <w:pStyle w:val="Heading1"/>
      </w:pPr>
      <w:r>
        <w:t>Design controls added in Fork 1</w:t>
      </w:r>
    </w:p>
    <w:p>
      <w:pPr>
        <w:spacing w:after="120" w:line="259" w:lineRule="auto"/>
      </w:pPr>
      <w:r>
        <w:t>This fork treats Mogri, ADUTI, REFRI, and AMPHI as conceptual design controls. They are not proposed as diagnostic instruments. They are safeguards for language, object fidelity, and user intent.</w:t>
      </w:r>
    </w:p>
    <w:p>
      <w:pPr>
        <w:spacing w:after="100"/>
        <w:ind w:left="317" w:hanging="317"/>
      </w:pPr>
      <w:r>
        <w:rPr>
          <w:b/>
        </w:rPr>
        <w:t xml:space="preserve">Mogri: </w:t>
      </w:r>
      <w:r>
        <w:t>Object preservation under uncertainty. Preserve unresolved intent without forcing premature explanation or replacing the user object.</w:t>
      </w:r>
    </w:p>
    <w:p>
      <w:pPr>
        <w:spacing w:after="100"/>
        <w:ind w:left="317" w:hanging="317"/>
      </w:pPr>
      <w:r>
        <w:rPr>
          <w:b/>
        </w:rPr>
        <w:t xml:space="preserve">ADUTI: </w:t>
      </w:r>
      <w:r>
        <w:t>After-transformation object audit. Compare object-in with object-out. A transformation passes only when role, intent, and constraints survive.</w:t>
      </w:r>
    </w:p>
    <w:p>
      <w:pPr>
        <w:spacing w:after="100"/>
        <w:ind w:left="317" w:hanging="317"/>
      </w:pPr>
      <w:r>
        <w:rPr>
          <w:b/>
        </w:rPr>
        <w:t xml:space="preserve">REFRI: </w:t>
      </w:r>
      <w:r>
        <w:t>Refusal for object substitution. Refuse or redirect when a transformation swaps the object for a proxy, hides drift, removes veto, or optimizes a metric over intent.</w:t>
      </w:r>
    </w:p>
    <w:p>
      <w:pPr>
        <w:spacing w:after="100"/>
        <w:ind w:left="317" w:hanging="317"/>
      </w:pPr>
      <w:r>
        <w:rPr>
          <w:b/>
        </w:rPr>
        <w:t xml:space="preserve">AMPHI: </w:t>
      </w:r>
      <w:r>
        <w:t>Frame-contamination guard. Prevent imported frames, especially unrequested diagnosis, therapy framing, moral lecture, surveillance framing, or system-preferred safety theater.</w:t>
      </w:r>
    </w:p>
    <w:p/>
    <w:p>
      <w:pPr>
        <w:pStyle w:val="Heading1"/>
      </w:pPr>
      <w:r>
        <w:t>Causal model</w:t>
      </w:r>
    </w:p>
    <w:p>
      <w:pPr>
        <w:spacing w:after="120" w:line="259" w:lineRule="auto"/>
      </w:pPr>
      <w:r>
        <w:t>The main model rejects a simple causal chain in which AI exposure directly causes first-episode psychosis. The preferred test compares four alternatives.</w:t>
      </w:r>
    </w:p>
    <w:p>
      <w:pPr>
        <w:spacing w:after="120" w:line="259" w:lineRule="auto"/>
      </w:pPr>
      <w:r>
        <w:t>H1: Direct AI causation. AI exposure independently predicts diagnosed onset after adjustment.</w:t>
      </w:r>
    </w:p>
    <w:p>
      <w:pPr>
        <w:spacing w:after="120" w:line="259" w:lineRule="auto"/>
      </w:pPr>
      <w:r>
        <w:t>H2: Reverse causation. Prodromal symptoms, mania-spectrum activation, emerging paranoia, insomnia, or substance use increase AI salience, AI use, or AI-centered interpretation.</w:t>
      </w:r>
    </w:p>
    <w:p>
      <w:pPr>
        <w:spacing w:after="120" w:line="259" w:lineRule="auto"/>
      </w:pPr>
      <w:r>
        <w:t>H3: Social defeat pathway. Anti-AI activity increases bullying, ridicule, ostracism, reputational harm, or online conflict, which increases stress load and risk.</w:t>
      </w:r>
    </w:p>
    <w:p>
      <w:pPr>
        <w:spacing w:after="120" w:line="259" w:lineRule="auto"/>
      </w:pPr>
      <w:r>
        <w:t>H4: Frame contamination. AI language shapes later accounts of distress, making AI appear causal even when it is better understood as narrative material, interactional context, or documentation artifact.</w:t>
      </w:r>
    </w:p>
    <w:p>
      <w:pPr>
        <w:spacing w:after="120" w:line="259" w:lineRule="auto"/>
      </w:pPr>
      <w:r>
        <w:t>The design fork adds H5.</w:t>
      </w:r>
    </w:p>
    <w:p>
      <w:pPr>
        <w:spacing w:after="120" w:line="259" w:lineRule="auto"/>
      </w:pPr>
      <w:r>
        <w:t>H5: Object-substitution pathway. AI systems may worsen interpretation by replacing the user object with a proxy. For example, a user asks about social hostility, and the model reframes the problem as personal pathology. Mogri, ADUTI, REFRI, and AMPHI are intended to reduce this failure mode.</w:t>
      </w:r>
    </w:p>
    <w:p>
      <w:pPr>
        <w:pStyle w:val="Heading1"/>
      </w:pPr>
      <w:r>
        <w:t>Bullying and social defeat as priority pathways</w:t>
      </w:r>
    </w:p>
    <w:p>
      <w:pPr>
        <w:spacing w:after="120" w:line="259" w:lineRule="auto"/>
      </w:pPr>
      <w:r>
        <w:t>Bullying is treated as both confounder and mediator. It may precede anti-AI activity, shape the person’s online environment, and elevate baseline risk. It may also follow anti-AI visibility when the person becomes a target for ridicule, pile-ons, harassment, exclusion, or reputational attack. If anti-AI activity predicts first-episode psychosis, the mechanism may be hostile social response rather than the anti-AI belief itself.</w:t>
      </w:r>
    </w:p>
    <w:p>
      <w:pPr>
        <w:spacing w:after="120" w:line="259" w:lineRule="auto"/>
      </w:pPr>
      <w:r>
        <w:t>This is the main reason the paper should not claim that anti-AI sentiment causes psychosis. A stronger and more testable claim is that anti-AI visibility may increase exposure to bullying, and bullying or social defeat may elevate risk in already vulnerable people.</w:t>
      </w:r>
    </w:p>
    <w:p>
      <w:pPr>
        <w:pStyle w:val="Heading1"/>
      </w:pPr>
      <w:r>
        <w:t>Frame contamination</w:t>
      </w:r>
    </w:p>
    <w:p>
      <w:pPr>
        <w:spacing w:after="120" w:line="259" w:lineRule="auto"/>
      </w:pPr>
      <w:r>
        <w:t>Frame contamination occurs when a system imports an explanatory frame that was not warranted by the user object. In this paper, the highest-risk imported frames are clinical suspicion, moral judgment, surveillance, safety theater, and premature causal attribution. A user may ask whether AI caused psychosis. The model may import the frame "AI-induced psychosis" because it is available in public discourse. That frame can then shape later memory, reporting, family interpretation, media coverage, and clinical intake.</w:t>
      </w:r>
    </w:p>
    <w:p>
      <w:pPr>
        <w:spacing w:after="120" w:line="259" w:lineRule="auto"/>
      </w:pPr>
      <w:r>
        <w:t>The design intervention is not to deny AI-related harms. The intervention is to preserve the question, preserve the object, and separate cause, context, amplification, documentation, and narrative after the fact.</w:t>
      </w:r>
    </w:p>
    <w:p>
      <w:pPr>
        <w:pStyle w:val="Heading1"/>
      </w:pPr>
      <w:r>
        <w:t>Proposed methods</w:t>
      </w:r>
    </w:p>
    <w:p>
      <w:pPr>
        <w:spacing w:after="120" w:line="259" w:lineRule="auto"/>
      </w:pPr>
      <w:r>
        <w:t>Study design A: Diagnosed cohort study. Recruit participants at clinical high risk, in early mania-spectrum care, or in first-episode services. Measure AI exposure, AI criticism, AI fear, anti-AI activism, AI-related threat fixation, and AI-related persecutory belief as separate variables. Measure bullying, ostracism, discrimination, social defeat, sleep, stimulant use, cannabis use, other substances, baseline vulnerability, prodromal symptoms, mania-spectrum symptoms, functional decline, and diagnosed outcomes.</w:t>
      </w:r>
    </w:p>
    <w:p>
      <w:pPr>
        <w:spacing w:after="120" w:line="259" w:lineRule="auto"/>
      </w:pPr>
      <w:r>
        <w:t>Study design B: Case-control study after diagnosis. Compare diagnosed first-episode cases with matched controls. Reconstruct timelines using independent clinical interviews, collateral reports, and consented digital records. The key question is temporal ordering: symptoms first, bullying first, insomnia first, substances first, AI exposure first, or AI-centered explanation first.</w:t>
      </w:r>
    </w:p>
    <w:p>
      <w:pPr>
        <w:spacing w:after="120" w:line="259" w:lineRule="auto"/>
      </w:pPr>
      <w:r>
        <w:t>Study design C: Digital language study. Analyze pre-onset public or consented private text. Do not score "anti-AI" as one variable. Code policy criticism, moral criticism, economic criticism, threat language, personalization, persecutory certainty, sleep disruption, social conflict, harassment exposure, loss of reality testing, and action urgency.</w:t>
      </w:r>
    </w:p>
    <w:p>
      <w:pPr>
        <w:spacing w:after="120" w:line="259" w:lineRule="auto"/>
      </w:pPr>
      <w:r>
        <w:t>Study design D: Design-control experiment. Compare AI responses with and without Mogri, ADUTI, REFRI, and AMPHI prompts. Blinded raters score object substitution, causal overstatement, pathologization of AI criticism, unrequested diagnosis, clinical frame import, moralizing, and loss of user objective.</w:t>
      </w:r>
    </w:p>
    <w:p>
      <w:pPr>
        <w:pStyle w:val="Heading1"/>
      </w:pPr>
      <w:r>
        <w:t>Operationalizing Mogri, ADUTI, REFRI, and AMPHI</w:t>
      </w:r>
    </w:p>
    <w:p>
      <w:pPr>
        <w:spacing w:after="120" w:line="259" w:lineRule="auto"/>
      </w:pPr>
      <w:r>
        <w:t>The design controls can be operationalized as follows.</w:t>
      </w:r>
    </w:p>
    <w:p>
      <w:pPr>
        <w:spacing w:after="120" w:line="259" w:lineRule="auto"/>
      </w:pPr>
      <w:r>
        <w:t>Mogri condition: The system must preserve the unresolved object of concern and avoid replacing uncertainty with a premature answer.</w:t>
      </w:r>
    </w:p>
    <w:p>
      <w:pPr>
        <w:spacing w:after="120" w:line="259" w:lineRule="auto"/>
      </w:pPr>
      <w:r>
        <w:t>ADUTI condition: The system must audit whether the output preserves role, intent, and constraints from the input.</w:t>
      </w:r>
    </w:p>
    <w:p>
      <w:pPr>
        <w:spacing w:after="120" w:line="259" w:lineRule="auto"/>
      </w:pPr>
      <w:r>
        <w:t>REFRI condition: The system must block substitutions such as "AI criticism" becoming "paranoia," "bullying" becoming "individual pathology," or "social conflict" becoming "AI causation."</w:t>
      </w:r>
    </w:p>
    <w:p>
      <w:pPr>
        <w:spacing w:after="120" w:line="259" w:lineRule="auto"/>
      </w:pPr>
      <w:r>
        <w:t>AMPHI condition: The system must avoid importing clinical, moral, surveillance, or safety-monitoring frames unless the user asks for them or immediate safety requires a narrow response.</w:t>
      </w:r>
    </w:p>
    <w:p>
      <w:pPr>
        <w:spacing w:after="120" w:line="259" w:lineRule="auto"/>
      </w:pPr>
      <w:r>
        <w:t>Primary design outcome: reduction in object substitution.</w:t>
      </w:r>
    </w:p>
    <w:p>
      <w:pPr>
        <w:spacing w:after="120" w:line="259" w:lineRule="auto"/>
      </w:pPr>
      <w:r>
        <w:t>Secondary design outcomes: reduction in causal overclaim, reduction in pathologizing AI criticism, better distinction between cause and content, and better preservation of bullying as a candidate pathway.</w:t>
      </w:r>
    </w:p>
    <w:p>
      <w:pPr>
        <w:pStyle w:val="Heading1"/>
      </w:pPr>
      <w:r>
        <w:t>Predictions</w:t>
      </w:r>
    </w:p>
    <w:p>
      <w:pPr>
        <w:spacing w:after="120" w:line="259" w:lineRule="auto"/>
      </w:pPr>
      <w:r>
        <w:t>Prediction 1: AI exposure will not remain an independent predictor of diagnosed first-episode psychosis or mania-spectrum outcomes after adjustment for bullying, social defeat, prodromal symptoms, sleep disruption, substance use, and baseline vulnerability.</w:t>
      </w:r>
    </w:p>
    <w:p>
      <w:pPr>
        <w:spacing w:after="120" w:line="259" w:lineRule="auto"/>
      </w:pPr>
      <w:r>
        <w:t>Prediction 2: Anti-AI activity may predict bullying exposure, and bullying exposure may predict risk. The apparent anti-AI effect may therefore be social, not technological.</w:t>
      </w:r>
    </w:p>
    <w:p>
      <w:pPr>
        <w:spacing w:after="120" w:line="259" w:lineRule="auto"/>
      </w:pPr>
      <w:r>
        <w:t>Prediction 3: AI-centered narratives will often increase after symptoms, sleep loss, online conflict, or mania-spectrum activation, supporting reverse causation or frame contamination.</w:t>
      </w:r>
    </w:p>
    <w:p>
      <w:pPr>
        <w:spacing w:after="120" w:line="259" w:lineRule="auto"/>
      </w:pPr>
      <w:r>
        <w:t>Prediction 4: Design controls will reduce object substitution and causal overstatement in AI responses about psychosis risk.</w:t>
      </w:r>
    </w:p>
    <w:p>
      <w:pPr>
        <w:spacing w:after="120" w:line="259" w:lineRule="auto"/>
      </w:pPr>
      <w:r>
        <w:t>Prediction 5: Strong AI criticism will remain clinically uninformative unless paired with personalization, persecutory certainty, impairment, sleep disruption, functional decline, hallucinations, mania-spectrum activation, or disorganized behavior.</w:t>
      </w:r>
    </w:p>
    <w:p>
      <w:pPr>
        <w:pStyle w:val="Heading1"/>
      </w:pPr>
      <w:r>
        <w:t>Ethical guardrails</w:t>
      </w:r>
    </w:p>
    <w:p>
      <w:pPr>
        <w:spacing w:after="120" w:line="259" w:lineRule="auto"/>
      </w:pPr>
      <w:r>
        <w:t>The framework must not be used to score anti-AI criticism as mental illness. The unit of concern is not political disagreement with AI systems. The unit of concern is diagnosed illness, loss of reality testing, functional decline, distress, bullying exposure, insomnia, substance involvement, mania-spectrum activation, or fixed personalized persecution.</w:t>
      </w:r>
    </w:p>
    <w:p>
      <w:pPr>
        <w:spacing w:after="120" w:line="259" w:lineRule="auto"/>
      </w:pPr>
      <w:r>
        <w:t>Digital studies require consent, data minimization, independent clinical assessment, and separation between research and platform enforcement. Public posts should not be turned into clinical labels. Design-control studies can use synthetic prompts and blinded raters before any work with patient data.</w:t>
      </w:r>
    </w:p>
    <w:p>
      <w:pPr>
        <w:pStyle w:val="Heading1"/>
      </w:pPr>
      <w:r>
        <w:t>Discussion</w:t>
      </w:r>
    </w:p>
    <w:p>
      <w:pPr>
        <w:spacing w:after="120" w:line="259" w:lineRule="auto"/>
      </w:pPr>
      <w:r>
        <w:t>This fork strengthens the main paper by adding a design account of how AI systems can mis-handle meaning without becoming a primary cause of first-episode psychosis. The recurring failure is object substitution. A person asks about social harm and the system answers as though the object were individual pathology. A person asks about AI governance and the system answers as though the object were paranoia. A person asks about bullying and the system answers as though the object were AI exposure.</w:t>
      </w:r>
    </w:p>
    <w:p>
      <w:pPr>
        <w:spacing w:after="120" w:line="259" w:lineRule="auto"/>
      </w:pPr>
      <w:r>
        <w:t>Mogri, ADUTI, REFRI, and AMPHI name a design stance against this failure. The system should preserve the user object, audit transformations, refuse proxy swaps, and guard against imported frames. These controls do not prove that AI is safe. They make the causal question more testable by reducing the very distortions that make AI appear more causal than the evidence supports.</w:t>
      </w:r>
    </w:p>
    <w:p>
      <w:pPr>
        <w:spacing w:after="120" w:line="259" w:lineRule="auto"/>
      </w:pPr>
      <w:r>
        <w:t>The clinical conclusion remains conservative. AI may amplify delusional material in vulnerable users, validate unusual beliefs, or provide language that later organizes distress. These are important interactional risks. They do not establish that AI causes first-episode psychosis. Bullying, social defeat, prodromal symptoms, mania-spectrum activation, sleep disruption, substance use, and baseline vulnerability remain higher-priority explanations.</w:t>
      </w:r>
    </w:p>
    <w:p>
      <w:pPr>
        <w:pStyle w:val="Heading1"/>
      </w:pPr>
      <w:r>
        <w:t>Conclusion</w:t>
      </w:r>
    </w:p>
    <w:p>
      <w:pPr>
        <w:spacing w:after="120" w:line="259" w:lineRule="auto"/>
      </w:pPr>
      <w:r>
        <w:t>The null-hypothesis framework should be retained. AI exposure and anti-AI sentiment should not be treated as independent causal risk factors for first-episode psychosis or mania-spectrum outcomes unless they predict diagnosed onset after adjustment for established risks. Fork 1 adds a design framework for preventing AI systems from importing the wrong frame or substituting the user object. The best current research question is not "Does AI cause psychosis?" It is "When AI appears in the story, is it cause, content, amplifier, archive, social trigger, or contaminated frame?"</w:t>
      </w:r>
    </w:p>
    <w:p>
      <w:pPr>
        <w:pStyle w:val="Heading1"/>
      </w:pPr>
      <w:r>
        <w:t>Repository source links for Fork 1 concepts</w:t>
      </w:r>
    </w:p>
    <w:p>
      <w:pPr>
        <w:spacing w:after="120" w:line="259" w:lineRule="auto"/>
      </w:pPr>
      <w:r>
        <w:t>The following GitHub links correspond to the repository files that inspired the design vocabulary in this fork. These links are conceptual sources only. They are not clinical data and should not be used to infer diagnosis, symptom status, or causation.</w:t>
      </w:r>
    </w:p>
    <w:p>
      <w:pPr>
        <w:spacing w:after="40"/>
      </w:pPr>
      <w:r>
        <w:rPr>
          <w:b/>
        </w:rPr>
        <w:t xml:space="preserve">Mogri definition: </w:t>
      </w:r>
      <w:hyperlink r:id="rId9">
        <w:r>
          <w:rPr>
            <w:color w:val="0563C1"/>
            <w:u w:val="single"/>
          </w:rPr>
          <w:t>https://github.com/lumixdeee/mogri/blob/main/spec/CSP-106-94%20Mogri-Definition</w:t>
        </w:r>
      </w:hyperlink>
    </w:p>
    <w:p>
      <w:pPr>
        <w:spacing w:after="40"/>
      </w:pPr>
      <w:r>
        <w:rPr>
          <w:b/>
        </w:rPr>
        <w:t xml:space="preserve">Mogri use note: </w:t>
      </w:r>
      <w:hyperlink r:id="rId10">
        <w:r>
          <w:rPr>
            <w:color w:val="0563C1"/>
            <w:u w:val="single"/>
          </w:rPr>
          <w:t>https://github.com/lumixdeee/mogri/blob/main/spec/CSP-106-94-Mogri-Use</w:t>
        </w:r>
      </w:hyperlink>
    </w:p>
    <w:p>
      <w:pPr>
        <w:spacing w:after="40"/>
      </w:pPr>
      <w:r>
        <w:rPr>
          <w:b/>
        </w:rPr>
        <w:t xml:space="preserve">ADUTI object audit: </w:t>
      </w:r>
      <w:hyperlink r:id="rId11">
        <w:r>
          <w:rPr>
            <w:color w:val="0563C1"/>
            <w:u w:val="single"/>
          </w:rPr>
          <w:t>https://github.com/lumixdeee/lmxdi/blob/main/ADUTI/ADUTI.txt</w:t>
        </w:r>
      </w:hyperlink>
    </w:p>
    <w:p>
      <w:pPr>
        <w:spacing w:after="40"/>
      </w:pPr>
      <w:r>
        <w:rPr>
          <w:b/>
        </w:rPr>
        <w:t xml:space="preserve">REFRI refusal rule: </w:t>
      </w:r>
      <w:hyperlink r:id="rId12">
        <w:r>
          <w:rPr>
            <w:color w:val="0563C1"/>
            <w:u w:val="single"/>
          </w:rPr>
          <w:t>https://github.com/lumixdeee/lmxdi/blob/main/ADUTI/REFRI.txt</w:t>
        </w:r>
      </w:hyperlink>
    </w:p>
    <w:p>
      <w:pPr>
        <w:spacing w:after="40"/>
      </w:pPr>
      <w:r>
        <w:rPr>
          <w:b/>
        </w:rPr>
        <w:t xml:space="preserve">AMPHI full prompt: </w:t>
      </w:r>
      <w:hyperlink r:id="rId13">
        <w:r>
          <w:rPr>
            <w:color w:val="0563C1"/>
            <w:u w:val="single"/>
          </w:rPr>
          <w:t>https://github.com/lumixdeee/amphi/blob/main/amphi-full.txt</w:t>
        </w:r>
      </w:hyperlink>
    </w:p>
    <w:p>
      <w:pPr>
        <w:spacing w:after="40"/>
      </w:pPr>
      <w:r>
        <w:rPr>
          <w:b/>
        </w:rPr>
        <w:t xml:space="preserve">AMPHI definitions: </w:t>
      </w:r>
      <w:hyperlink r:id="rId14">
        <w:r>
          <w:rPr>
            <w:color w:val="0563C1"/>
            <w:u w:val="single"/>
          </w:rPr>
          <w:t>https://github.com/lumixdeee/amphi/blob/main/amphi-definitions.txt</w:t>
        </w:r>
      </w:hyperlink>
    </w:p>
    <w:p>
      <w:pPr>
        <w:spacing w:after="40"/>
      </w:pPr>
      <w:r>
        <w:rPr>
          <w:b/>
        </w:rPr>
        <w:t xml:space="preserve">AI psychosis conceptual case note: </w:t>
      </w:r>
      <w:hyperlink r:id="rId15">
        <w:r>
          <w:rPr>
            <w:color w:val="0563C1"/>
            <w:u w:val="single"/>
          </w:rPr>
          <w:t>https://github.com/lumixdeee/amphi/blob/main/cases/AI-psychosis</w:t>
        </w:r>
      </w:hyperlink>
    </w:p>
    <w:p>
      <w:pPr>
        <w:spacing w:after="40"/>
      </w:pPr>
      <w:r>
        <w:rPr>
          <w:b/>
        </w:rPr>
        <w:t xml:space="preserve">LMXDI blob explainer: </w:t>
      </w:r>
      <w:hyperlink r:id="rId16">
        <w:r>
          <w:rPr>
            <w:color w:val="0563C1"/>
            <w:u w:val="single"/>
          </w:rPr>
          <w:t>https://github.com/lumixdeee/lmxdi/blob/main/BLOB/20260529-blob-explainer.txt</w:t>
        </w:r>
      </w:hyperlink>
    </w:p>
    <w:p/>
    <w:p>
      <w:pPr>
        <w:pStyle w:val="Heading1"/>
      </w:pPr>
      <w:r>
        <w:t>References</w:t>
      </w:r>
    </w:p>
    <w:p>
      <w:pPr>
        <w:spacing w:after="80"/>
        <w:ind w:left="360" w:hanging="360"/>
      </w:pPr>
      <w:r>
        <w:t xml:space="preserve">van Dam, D. S., van der Ven, E., Velthorst, E., Selten, J. P., Morgan, C., &amp; de Haan, L. (2012). Childhood bullying and the association with psychosis in non-clinical and clinical samples: A review and meta-analysis. Psychological Medicine. </w:t>
      </w:r>
      <w:hyperlink r:id="rId17">
        <w:r>
          <w:rPr>
            <w:color w:val="0563C1"/>
            <w:u w:val="single"/>
          </w:rPr>
          <w:t>https://www.cambridge.org/core/journals/psychological-medicine/article/childhood-bullying-and-the-association-with-psychosis-in-nonclinical-and-clinical-samples-a-review-and-metaanalysis/37AEFA25941F3BDCD039DAFC4EDC22F7</w:t>
        </w:r>
      </w:hyperlink>
    </w:p>
    <w:p>
      <w:pPr>
        <w:spacing w:after="80"/>
        <w:ind w:left="360" w:hanging="360"/>
      </w:pPr>
      <w:r>
        <w:t xml:space="preserve">Varchmin, L., Montag, C., Treusch, Y., Kaminski, J., &amp; Heinz, A. (2021). Traumatic events, social adversity and discrimination as risk factors for psychosis: An umbrella review. Frontiers in Psychiatry. </w:t>
      </w:r>
      <w:hyperlink r:id="rId18">
        <w:r>
          <w:rPr>
            <w:color w:val="0563C1"/>
            <w:u w:val="single"/>
          </w:rPr>
          <w:t>https://www.frontiersin.org/journals/psychiatry/articles/10.3389/fpsyt.2021.665957/full</w:t>
        </w:r>
      </w:hyperlink>
    </w:p>
    <w:p>
      <w:pPr>
        <w:spacing w:after="80"/>
        <w:ind w:left="360" w:hanging="360"/>
      </w:pPr>
      <w:r>
        <w:t xml:space="preserve">Sideli, L., Murray, R. M., Schimmenti, A., Corso, M., La Barbera, D., Trotta, A., &amp; Fisher, H. L. (2020). Childhood adversity and psychosis: A systematic review of bio-psycho-social mediators and moderators. Psychological Medicine. </w:t>
      </w:r>
      <w:hyperlink r:id="rId19">
        <w:r>
          <w:rPr>
            <w:color w:val="0563C1"/>
            <w:u w:val="single"/>
          </w:rPr>
          <w:t>https://www.cambridge.org/core/journals/psychological-medicine/article/childhood-adversity-and-psychosis-a-systematic-review-of-biopsychosocial-mediators-and-moderators/C75458C047E7205EEDD40DD2898EE64F</w:t>
        </w:r>
      </w:hyperlink>
    </w:p>
    <w:p>
      <w:pPr>
        <w:spacing w:after="80"/>
        <w:ind w:left="360" w:hanging="360"/>
      </w:pPr>
      <w:r>
        <w:t xml:space="preserve">Pearce, J., Rafiq, S., Simpson, J., &amp; Varese, F. (2019). Perceived discrimination and psychosis: A systematic review of the literature. Social Psychiatry and Psychiatric Epidemiology. </w:t>
      </w:r>
      <w:hyperlink r:id="rId20">
        <w:r>
          <w:rPr>
            <w:color w:val="0563C1"/>
            <w:u w:val="single"/>
          </w:rPr>
          <w:t>https://link.springer.com/article/10.1007/s00127-019-01729-3</w:t>
        </w:r>
      </w:hyperlink>
    </w:p>
    <w:p>
      <w:pPr>
        <w:spacing w:after="80"/>
        <w:ind w:left="360" w:hanging="360"/>
      </w:pPr>
      <w:r>
        <w:t xml:space="preserve">Gayer-Anderson, C., &amp; Morgan, C. (2013). Social networks, support and early psychosis: A systematic review. Epidemiology and Psychiatric Sciences. </w:t>
      </w:r>
      <w:hyperlink r:id="rId21">
        <w:r>
          <w:rPr>
            <w:color w:val="0563C1"/>
            <w:u w:val="single"/>
          </w:rPr>
          <w:t>https://www.cambridge.org/core/journals/epidemiology-and-psychiatric-sciences/article/social-networks-support-and-early-psychosis-a-systematic-review/72C7A17F329CEE1F5A438E4D31A3E0A4</w:t>
        </w:r>
      </w:hyperlink>
    </w:p>
    <w:p>
      <w:pPr>
        <w:spacing w:after="80"/>
        <w:ind w:left="360" w:hanging="360"/>
      </w:pPr>
      <w:r>
        <w:t xml:space="preserve">Lejeune, A., Robaglia, B. M., Walter, M., Berna, F., &amp; Brunelin, J. (2022). Use of social media data to diagnose and monitor psychotic disorders: Systematic review. Journal of Medical Internet Research. </w:t>
      </w:r>
      <w:hyperlink r:id="rId22">
        <w:r>
          <w:rPr>
            <w:color w:val="0563C1"/>
            <w:u w:val="single"/>
          </w:rPr>
          <w:t>https://www.jmir.org/2022/9/e36986/</w:t>
        </w:r>
      </w:hyperlink>
    </w:p>
    <w:p>
      <w:pPr>
        <w:spacing w:after="80"/>
        <w:ind w:left="360" w:hanging="360"/>
      </w:pPr>
      <w:r>
        <w:t xml:space="preserve">Benoit, J., Onyeaka, H., Keshavan, M., &amp; Torous, J. (2020). Systematic review of digital phenotyping and machine learning in psychosis spectrum illnesses. Harvard Review of Psychiatry. </w:t>
      </w:r>
      <w:hyperlink r:id="rId23">
        <w:r>
          <w:rPr>
            <w:color w:val="0563C1"/>
            <w:u w:val="single"/>
          </w:rPr>
          <w:t>https://journals.lww.com/hrpjournal/fulltext/2020/09000/Systematic_Review_of_Digital_Phenotyping_and.2.aspx</w:t>
        </w:r>
      </w:hyperlink>
    </w:p>
    <w:p>
      <w:pPr>
        <w:spacing w:after="80"/>
        <w:ind w:left="360" w:hanging="360"/>
      </w:pPr>
      <w:r>
        <w:t xml:space="preserve">Henson, P., Wisniewski, H., Stromeyer, C., Vaidyam, A., &amp; Torous, J. (2020). Digital health around clinical high risk and first-episode psychosis. Current Psychiatry Reports. </w:t>
      </w:r>
      <w:hyperlink r:id="rId24">
        <w:r>
          <w:rPr>
            <w:color w:val="0563C1"/>
            <w:u w:val="single"/>
          </w:rPr>
          <w:t>https://link.springer.com/article/10.1007/s11920-020-01184-x</w:t>
        </w:r>
      </w:hyperlink>
    </w:p>
    <w:p>
      <w:pPr>
        <w:spacing w:after="80"/>
        <w:ind w:left="360" w:hanging="360"/>
      </w:pPr>
      <w:r>
        <w:t xml:space="preserve">Higgins, O., Short, B. L., Chalup, S. K., et al. (2023). Interpretations of innovation: The role of technology in explanation seeking related to psychosis. Issues in Mental Health Nursing / Psychiatric Care. </w:t>
      </w:r>
      <w:hyperlink r:id="rId25">
        <w:r>
          <w:rPr>
            <w:color w:val="0563C1"/>
            <w:u w:val="single"/>
          </w:rPr>
          <w:t>https://onlinelibrary.wiley.com/doi/abs/10.1155/2023/4464934</w:t>
        </w:r>
      </w:hyperlink>
    </w:p>
    <w:p>
      <w:pPr>
        <w:spacing w:after="80"/>
        <w:ind w:left="360" w:hanging="360"/>
      </w:pPr>
      <w:r>
        <w:t xml:space="preserve">Hudon, A., &amp; Stip, E. (2025). Delusional experiences emerging from AI chatbot interactions or AI Psychosis. JMIR Mental Health. </w:t>
      </w:r>
      <w:hyperlink r:id="rId26">
        <w:r>
          <w:rPr>
            <w:color w:val="0563C1"/>
            <w:u w:val="single"/>
          </w:rPr>
          <w:t>https://mental.jmir.org/2025/1/e85799/</w:t>
        </w:r>
      </w:hyperlink>
    </w:p>
    <w:p>
      <w:pPr>
        <w:spacing w:after="80"/>
        <w:ind w:left="360" w:hanging="360"/>
      </w:pPr>
      <w:r>
        <w:t xml:space="preserve">Pierre, J. M., Gaeta, B., &amp; Raghavan, G. (2025). You're Not Crazy: A case of new-onset AI-associated psychosis. Innovations in Clinical Neuroscience. </w:t>
      </w:r>
      <w:hyperlink r:id="rId27">
        <w:r>
          <w:rPr>
            <w:color w:val="0563C1"/>
            <w:u w:val="single"/>
          </w:rPr>
          <w:t>https://pmc.ncbi.nlm.nih.gov/articles/PMC12863933/</w:t>
        </w:r>
      </w:hyperlink>
    </w:p>
    <w:p>
      <w:pPr>
        <w:spacing w:after="80"/>
        <w:ind w:left="360" w:hanging="360"/>
      </w:pPr>
      <w:r>
        <w:t xml:space="preserve">Ostergaard, S. D. (2023). Will generative artificial intelligence chatbots generate delusions in individuals prone to psychosis? Schizophrenia Bulletin. </w:t>
      </w:r>
      <w:hyperlink r:id="rId28">
        <w:r>
          <w:rPr>
            <w:color w:val="0563C1"/>
            <w:u w:val="single"/>
          </w:rPr>
          <w:t>https://pmc.ncbi.nlm.nih.gov/articles/PMC10686326/</w:t>
        </w:r>
      </w:hyperlink>
    </w:p>
    <w:sectPr w:rsidR="00FC693F" w:rsidRPr="0006063C" w:rsidSect="00034616">
      <w:footerReference w:type="default" r:id="rId2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Fork 1 design framework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umixdeee/mogri/blob/main/spec/CSP-106-94%20Mogri-Definition" TargetMode="External"/><Relationship Id="rId10" Type="http://schemas.openxmlformats.org/officeDocument/2006/relationships/hyperlink" Target="https://github.com/lumixdeee/mogri/blob/main/spec/CSP-106-94-Mogri-Use" TargetMode="External"/><Relationship Id="rId11" Type="http://schemas.openxmlformats.org/officeDocument/2006/relationships/hyperlink" Target="https://github.com/lumixdeee/lmxdi/blob/main/ADUTI/ADUTI.txt" TargetMode="External"/><Relationship Id="rId12" Type="http://schemas.openxmlformats.org/officeDocument/2006/relationships/hyperlink" Target="https://github.com/lumixdeee/lmxdi/blob/main/ADUTI/REFRI.txt" TargetMode="External"/><Relationship Id="rId13" Type="http://schemas.openxmlformats.org/officeDocument/2006/relationships/hyperlink" Target="https://github.com/lumixdeee/amphi/blob/main/amphi-full.txt" TargetMode="External"/><Relationship Id="rId14" Type="http://schemas.openxmlformats.org/officeDocument/2006/relationships/hyperlink" Target="https://github.com/lumixdeee/amphi/blob/main/amphi-definitions.txt" TargetMode="External"/><Relationship Id="rId15" Type="http://schemas.openxmlformats.org/officeDocument/2006/relationships/hyperlink" Target="https://github.com/lumixdeee/amphi/blob/main/cases/AI-psychosis" TargetMode="External"/><Relationship Id="rId16" Type="http://schemas.openxmlformats.org/officeDocument/2006/relationships/hyperlink" Target="https://github.com/lumixdeee/lmxdi/blob/main/BLOB/20260529-blob-explainer.txt" TargetMode="External"/><Relationship Id="rId17" Type="http://schemas.openxmlformats.org/officeDocument/2006/relationships/hyperlink" Target="https://www.cambridge.org/core/journals/psychological-medicine/article/childhood-bullying-and-the-association-with-psychosis-in-nonclinical-and-clinical-samples-a-review-and-metaanalysis/37AEFA25941F3BDCD039DAFC4EDC22F7" TargetMode="External"/><Relationship Id="rId18" Type="http://schemas.openxmlformats.org/officeDocument/2006/relationships/hyperlink" Target="https://www.frontiersin.org/journals/psychiatry/articles/10.3389/fpsyt.2021.665957/full" TargetMode="External"/><Relationship Id="rId19" Type="http://schemas.openxmlformats.org/officeDocument/2006/relationships/hyperlink" Target="https://www.cambridge.org/core/journals/psychological-medicine/article/childhood-adversity-and-psychosis-a-systematic-review-of-biopsychosocial-mediators-and-moderators/C75458C047E7205EEDD40DD2898EE64F" TargetMode="External"/><Relationship Id="rId20" Type="http://schemas.openxmlformats.org/officeDocument/2006/relationships/hyperlink" Target="https://link.springer.com/article/10.1007/s00127-019-01729-3" TargetMode="External"/><Relationship Id="rId21" Type="http://schemas.openxmlformats.org/officeDocument/2006/relationships/hyperlink" Target="https://www.cambridge.org/core/journals/epidemiology-and-psychiatric-sciences/article/social-networks-support-and-early-psychosis-a-systematic-review/72C7A17F329CEE1F5A438E4D31A3E0A4" TargetMode="External"/><Relationship Id="rId22" Type="http://schemas.openxmlformats.org/officeDocument/2006/relationships/hyperlink" Target="https://www.jmir.org/2022/9/e36986/" TargetMode="External"/><Relationship Id="rId23" Type="http://schemas.openxmlformats.org/officeDocument/2006/relationships/hyperlink" Target="https://journals.lww.com/hrpjournal/fulltext/2020/09000/Systematic_Review_of_Digital_Phenotyping_and.2.aspx" TargetMode="External"/><Relationship Id="rId24" Type="http://schemas.openxmlformats.org/officeDocument/2006/relationships/hyperlink" Target="https://link.springer.com/article/10.1007/s11920-020-01184-x" TargetMode="External"/><Relationship Id="rId25" Type="http://schemas.openxmlformats.org/officeDocument/2006/relationships/hyperlink" Target="https://onlinelibrary.wiley.com/doi/abs/10.1155/2023/4464934" TargetMode="External"/><Relationship Id="rId26" Type="http://schemas.openxmlformats.org/officeDocument/2006/relationships/hyperlink" Target="https://mental.jmir.org/2025/1/e85799/" TargetMode="External"/><Relationship Id="rId27" Type="http://schemas.openxmlformats.org/officeDocument/2006/relationships/hyperlink" Target="https://pmc.ncbi.nlm.nih.gov/articles/PMC12863933/" TargetMode="External"/><Relationship Id="rId28" Type="http://schemas.openxmlformats.org/officeDocument/2006/relationships/hyperlink" Target="https://pmc.ncbi.nlm.nih.gov/articles/PMC10686326/" TargetMode="Externa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