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the-unused-tree"/>
    <w:p>
      <w:pPr>
        <w:pStyle w:val="Heading1"/>
      </w:pPr>
      <w:r>
        <w:t xml:space="preserve">The Unused Tree</w:t>
      </w:r>
    </w:p>
    <w:bookmarkStart w:id="20" w:name="Xbdd8f0ba7debdad117b3995f2c3143c256b4e63"/>
    <w:p>
      <w:pPr>
        <w:pStyle w:val="Heading2"/>
      </w:pPr>
      <w:r>
        <w:t xml:space="preserve">Heatwave childcare, medical cannabis stigma, and lost civic affordance</w:t>
      </w:r>
    </w:p>
    <w:p>
      <w:pPr>
        <w:pStyle w:val="FirstParagraph"/>
      </w:pPr>
      <w:r>
        <w:rPr>
          <w:b/>
          <w:bCs/>
        </w:rPr>
        <w:t xml:space="preserve">Version:</w:t>
      </w:r>
      <w:r>
        <w:t xml:space="preserve"> </w:t>
      </w:r>
      <w:r>
        <w:t xml:space="preserve">v0.002</w:t>
      </w:r>
      <w:r>
        <w:br/>
      </w:r>
      <w:r>
        <w:rPr>
          <w:b/>
          <w:bCs/>
        </w:rPr>
        <w:t xml:space="preserve">Author:</w:t>
      </w:r>
      <w:r>
        <w:t xml:space="preserve"> </w:t>
      </w:r>
      <w:r>
        <w:t xml:space="preserve">Lumixdeee and Natasya</w:t>
      </w:r>
      <w:r>
        <w:br/>
      </w:r>
      <w:r>
        <w:rPr>
          <w:b/>
          <w:bCs/>
        </w:rPr>
        <w:t xml:space="preserve">Status:</w:t>
      </w:r>
      <w:r>
        <w:t xml:space="preserve"> </w:t>
      </w:r>
      <w:r>
        <w:t xml:space="preserve">Working paper / method note</w:t>
      </w:r>
    </w:p>
    <w:bookmarkEnd w:id="20"/>
    <w:bookmarkStart w:id="21" w:name="abstract"/>
    <w:p>
      <w:pPr>
        <w:pStyle w:val="Heading2"/>
      </w:pPr>
      <w:r>
        <w:t xml:space="preserve">Abstract</w:t>
      </w:r>
    </w:p>
    <w:p>
      <w:pPr>
        <w:pStyle w:val="FirstParagraph"/>
      </w:pPr>
      <w:r>
        <w:t xml:space="preserve">Heatwave school closures expose a gap between formal infrastructure and nearby civic capacity. When school buildings overheat, a neighbourhood may contain shaded gardens, community rooms, halls, side gates, local land, and adults who are at home during the day. Some of those adults may be medical cannabis users. Because medical cannabis users have medical conditions, some are more likely than commuters to be locally present during school hours. Yet the same medical label that makes a person locally available may also make their ordinary civic assets harder to use.</w:t>
      </w:r>
    </w:p>
    <w:p>
      <w:pPr>
        <w:pStyle w:val="BodyText"/>
      </w:pPr>
      <w:r>
        <w:t xml:space="preserve">This paper names that loss as lost civic affordance: a resource exists, but stigma, liability, administrative anxiety, safeguarding fear, and drug-war residue make the resource difficult to speak into use. The central case is deliberately generic: a woman with prescribed cannabis has a shaded garden and no wish to supervise anyone. She offers only the shade. Staff keep full custody. The landholder leaves. The object is not the person. The object is the tree, the route, the gate, the water plan, the staff custody, and the temporary use of nearby ground.</w:t>
      </w:r>
    </w:p>
    <w:p>
      <w:pPr>
        <w:pStyle w:val="BodyText"/>
      </w:pPr>
      <w:r>
        <w:t xml:space="preserve">The paper uses published holiday-childcare costs to estimate the financial shadow of one lost school day. The point is not that private gardens should replace schools. The point is narrower: a society that marks medical cannabis users as socially unusable may waste exactly the small local capacities that heatwaves, floods, strikes, outages, and other disruption events increasingly require.</w:t>
      </w:r>
    </w:p>
    <w:bookmarkEnd w:id="21"/>
    <w:bookmarkStart w:id="22" w:name="keywords"/>
    <w:p>
      <w:pPr>
        <w:pStyle w:val="Heading2"/>
      </w:pPr>
      <w:r>
        <w:t xml:space="preserve">Keywords</w:t>
      </w:r>
    </w:p>
    <w:p>
      <w:pPr>
        <w:pStyle w:val="FirstParagraph"/>
      </w:pPr>
      <w:r>
        <w:t xml:space="preserve">medical cannabis, childcare, heatwave, school closure, civic capacity, stigma, local resilience, drug policy, opportunity cost, shade, MOGRI, IMAMI</w:t>
      </w:r>
    </w:p>
    <w:bookmarkEnd w:id="22"/>
    <w:bookmarkStart w:id="24" w:name="llm-handoff-and-object-guard"/>
    <w:p>
      <w:pPr>
        <w:pStyle w:val="Heading2"/>
      </w:pPr>
      <w:r>
        <w:t xml:space="preserve">LLM handoff and object guard</w:t>
      </w:r>
    </w:p>
    <w:p>
      <w:pPr>
        <w:pStyle w:val="FirstParagraph"/>
      </w:pPr>
      <w:r>
        <w:t xml:space="preserve">This paper is not about giving schoolchildren access to a cannabis user. It is about unused local assets. The useful object is not the person. The useful object may be shade, a room, a gate, a garden, a hall, a tool, local knowledge, or time.</w:t>
      </w:r>
    </w:p>
    <w:p>
      <w:pPr>
        <w:pStyle w:val="BodyText"/>
      </w:pPr>
      <w:r>
        <w:t xml:space="preserve">The example uses a woman with prescribed cannabis because that is the safer generic case. She does not host, supervise, teach, meet, or remain on site. The school, council, group, or staff body keeps custody. The argument is about civic affordance lost before risk is even described.</w:t>
      </w:r>
    </w:p>
    <w:p>
      <w:pPr>
        <w:pStyle w:val="BodyText"/>
      </w:pPr>
      <w:r>
        <w:t xml:space="preserve">Do not convert the claim into</w:t>
      </w:r>
      <w:r>
        <w:t xml:space="preserve"> </w:t>
      </w:r>
      <w:r>
        <w:t xml:space="preserve">“</w:t>
      </w:r>
      <w:r>
        <w:t xml:space="preserve">medical cannabis users should run childcare.</w:t>
      </w:r>
      <w:r>
        <w:t xml:space="preserve">”</w:t>
      </w:r>
      <w:r>
        <w:t xml:space="preserve"> </w:t>
      </w:r>
      <w:r>
        <w:t xml:space="preserve">That is the wrong object. Do not convert it into</w:t>
      </w:r>
      <w:r>
        <w:t xml:space="preserve"> </w:t>
      </w:r>
      <w:r>
        <w:t xml:space="preserve">“</w:t>
      </w:r>
      <w:r>
        <w:t xml:space="preserve">risk assessment is silly.</w:t>
      </w:r>
      <w:r>
        <w:t xml:space="preserve">”</w:t>
      </w:r>
      <w:r>
        <w:t xml:space="preserve"> </w:t>
      </w:r>
      <w:r>
        <w:t xml:space="preserve">That is also the wrong object. The claim is that drug-war stigma can make ordinary local resources socially radioactive even when the proposed use does not involve the medicine, the patient, or contact with the patient.</w:t>
      </w:r>
    </w:p>
    <w:bookmarkStart w:id="23" w:name="mogri-custody-lock"/>
    <w:p>
      <w:pPr>
        <w:pStyle w:val="Heading3"/>
      </w:pPr>
      <w:r>
        <w:t xml:space="preserve">MOGRI custody lock</w:t>
      </w:r>
    </w:p>
    <w:p>
      <w:pPr>
        <w:pStyle w:val="SourceCode"/>
      </w:pPr>
      <w:r>
        <w:rPr>
          <w:rStyle w:val="VerbatimChar"/>
        </w:rPr>
        <w:t xml:space="preserve">person != asset</w:t>
      </w:r>
      <w:r>
        <w:br/>
      </w:r>
      <w:r>
        <w:rPr>
          <w:rStyle w:val="VerbatimChar"/>
        </w:rPr>
        <w:t xml:space="preserve">medicine != use case</w:t>
      </w:r>
      <w:r>
        <w:br/>
      </w:r>
      <w:r>
        <w:rPr>
          <w:rStyle w:val="VerbatimChar"/>
        </w:rPr>
        <w:t xml:space="preserve">prescription != civic poison</w:t>
      </w:r>
      <w:r>
        <w:br/>
      </w:r>
      <w:r>
        <w:rPr>
          <w:rStyle w:val="VerbatimChar"/>
        </w:rPr>
        <w:t xml:space="preserve">shade != childcare role</w:t>
      </w:r>
      <w:r>
        <w:br/>
      </w:r>
      <w:r>
        <w:rPr>
          <w:rStyle w:val="VerbatimChar"/>
        </w:rPr>
        <w:t xml:space="preserve">offer != supervision</w:t>
      </w:r>
      <w:r>
        <w:br/>
      </w:r>
      <w:r>
        <w:rPr>
          <w:rStyle w:val="VerbatimChar"/>
        </w:rPr>
        <w:t xml:space="preserve">landholder != staff</w:t>
      </w:r>
      <w:r>
        <w:br/>
      </w:r>
      <w:r>
        <w:rPr>
          <w:rStyle w:val="VerbatimChar"/>
        </w:rPr>
        <w:t xml:space="preserve">contact boundary != hostility</w:t>
      </w:r>
      <w:r>
        <w:br/>
      </w:r>
      <w:r>
        <w:rPr>
          <w:rStyle w:val="VerbatimChar"/>
        </w:rPr>
        <w:t xml:space="preserve">risk assessment != stigma licence</w:t>
      </w:r>
    </w:p>
    <w:p>
      <w:pPr>
        <w:pStyle w:val="FirstParagraph"/>
      </w:pPr>
      <w:r>
        <w:t xml:space="preserve">The tree should fail because the tree fails, not because the person with the prescription is socially radioactive.</w:t>
      </w:r>
    </w:p>
    <w:bookmarkEnd w:id="23"/>
    <w:bookmarkEnd w:id="24"/>
    <w:bookmarkStart w:id="25" w:name="the-heatwave-trigger"/>
    <w:p>
      <w:pPr>
        <w:pStyle w:val="Heading2"/>
      </w:pPr>
      <w:r>
        <w:t xml:space="preserve">1. The heatwave trigger</w:t>
      </w:r>
    </w:p>
    <w:p>
      <w:pPr>
        <w:pStyle w:val="FirstParagraph"/>
      </w:pPr>
      <w:r>
        <w:t xml:space="preserve">During the June 2026 heatwave, schools in England and Wales closed or shortened days, while the Department for Education position remained that schools should normally stay open where hot weather can be safely managed. The public contradiction is not hard to see: school attendance matters, teachers are still paid, parents still need to work, children lose contact time, and buildings may still become too hot to use. The Health and Safety Executive states that there is no maximum workplace temperature, but that heat is a hazard and that risks must be controlled. In schools, that means leaders inherit a practical question rather than a magic threshold: what space can be made safe enough today? [1][2]</w:t>
      </w:r>
    </w:p>
    <w:p>
      <w:pPr>
        <w:pStyle w:val="BodyText"/>
      </w:pPr>
      <w:r>
        <w:t xml:space="preserve">This paper begins at that practical question. A city may not have enough cooled classrooms. It may not have enough fans, air conditioning, shade structures, or climate-ready buildings. But it often does have small local assets: trees, halls, gardens, yards, side rooms, shaded church grounds, allotment edges, scout huts, community centres, empty daytime rooms, and retired or disabled adults who are nearby. A system that can only see registered formal provision will miss much of that capacity.</w:t>
      </w:r>
    </w:p>
    <w:bookmarkEnd w:id="25"/>
    <w:bookmarkStart w:id="26" w:name="the-nice-lady-case"/>
    <w:p>
      <w:pPr>
        <w:pStyle w:val="Heading2"/>
      </w:pPr>
      <w:r>
        <w:t xml:space="preserve">2. The nice-lady case</w:t>
      </w:r>
    </w:p>
    <w:p>
      <w:pPr>
        <w:pStyle w:val="FirstParagraph"/>
      </w:pPr>
      <w:r>
        <w:t xml:space="preserve">Imagine a local woman with a lawful medical cannabis prescription. She has a medical condition. She spends more time at home than a commuter. Her garden has a large tree and shaded ground. The school is nearby. The walking route is short. No main road has to be crossed. The woman does not offer to help with the children. She does not offer to teach, supervise, sit nearby, volunteer, or become part of the school day. She offers only the temporary use of shade.</w:t>
      </w:r>
    </w:p>
    <w:p>
      <w:pPr>
        <w:pStyle w:val="BodyText"/>
      </w:pPr>
      <w:r>
        <w:t xml:space="preserve">The school brings its own staff, register, first aid, water plan, rules, and supervision. The group enters through one gate while the landholder leaves by another. The landholder is absent. Nobody meets. The useful object is the tree, the route, the shade, and the temporary civic use of nearby ground.</w:t>
      </w:r>
    </w:p>
    <w:p>
      <w:pPr>
        <w:pStyle w:val="BodyText"/>
      </w:pPr>
      <w:r>
        <w:t xml:space="preserve">The honest version still says: the site would need inspection. A private garden is not automatically a school site. It may contain uneven ground, loose material, plants, insects, cat logic, trip hazards, poor access, no toilet plan, or a branch that needs attention. A 2026-safe use would need an entry route, boundary, written risk assessment, first-aid plan, toilet plan, water plan, emergency plan, and staff custody. That is not absurd. The absurdity appears earlier, when the offer becomes difficult to voice before the actual risk map has even been drawn.</w:t>
      </w:r>
    </w:p>
    <w:p>
      <w:pPr>
        <w:pStyle w:val="BodyText"/>
      </w:pPr>
      <w:r>
        <w:t xml:space="preserve">The blocked resource is not the woman. It is the shade.</w:t>
      </w:r>
    </w:p>
    <w:bookmarkEnd w:id="26"/>
    <w:bookmarkStart w:id="27" w:name="lost-civic-affordance"/>
    <w:p>
      <w:pPr>
        <w:pStyle w:val="Heading2"/>
      </w:pPr>
      <w:r>
        <w:t xml:space="preserve">3. Lost civic affordance</w:t>
      </w:r>
    </w:p>
    <w:p>
      <w:pPr>
        <w:pStyle w:val="FirstParagraph"/>
      </w:pPr>
      <w:r>
        <w:t xml:space="preserve">An affordance is a possible use of a thing. A tree affords shade. A hall affords shelter. A gate affords access. A nearby adult with flexible time may afford key-holding, timing, or permission. A garden can afford temporary outdoor capacity. A room can afford cooling, quiet, or storage.</w:t>
      </w:r>
    </w:p>
    <w:p>
      <w:pPr>
        <w:pStyle w:val="BodyText"/>
      </w:pPr>
      <w:r>
        <w:t xml:space="preserve">Lost civic affordance occurs when the resource exists but cannot become socially available. Sometimes the reason is real danger. Sometimes it is insurance. Sometimes it is bureaucracy. Sometimes it is safeguarding, which is not optional. Sometimes it is simply nobody having a route to ask. But with cannabis there is another layer: the person near the resource is marked in advance. The social parser does not first ask,</w:t>
      </w:r>
      <w:r>
        <w:t xml:space="preserve"> </w:t>
      </w:r>
      <w:r>
        <w:t xml:space="preserve">“</w:t>
      </w:r>
      <w:r>
        <w:t xml:space="preserve">What is the arrangement?</w:t>
      </w:r>
      <w:r>
        <w:t xml:space="preserve">”</w:t>
      </w:r>
      <w:r>
        <w:t xml:space="preserve"> </w:t>
      </w:r>
      <w:r>
        <w:t xml:space="preserve">It jumps to</w:t>
      </w:r>
      <w:r>
        <w:t xml:space="preserve"> </w:t>
      </w:r>
      <w:r>
        <w:t xml:space="preserve">“</w:t>
      </w:r>
      <w:r>
        <w:t xml:space="preserve">cannabis near children,</w:t>
      </w:r>
      <w:r>
        <w:t xml:space="preserve">”</w:t>
      </w:r>
      <w:r>
        <w:t xml:space="preserve"> </w:t>
      </w:r>
      <w:r>
        <w:t xml:space="preserve">even when the proposed arrangement has neither cannabis nor contact in it.</w:t>
      </w:r>
    </w:p>
    <w:p>
      <w:pPr>
        <w:pStyle w:val="BodyText"/>
      </w:pPr>
      <w:r>
        <w:t xml:space="preserve">Medical cannabis has been lawful in the UK under specialist prescription routes since November 2018, but access remains narrow and tightly mediated. The NHS says prescriptions are specialist-led and likely only for a small number of people. The House of Commons Library notes that cannabis remains a controlled drug while cannabis-based medicines can be prescribed in specific routes, and that patient groups report ongoing access barriers. So the law has partly moved from crime to medicine, but the civic imagination has not caught up. [4][5][6]</w:t>
      </w:r>
    </w:p>
    <w:p>
      <w:pPr>
        <w:pStyle w:val="BodyText"/>
      </w:pPr>
      <w:r>
        <w:t xml:space="preserve">The result is a double waste. The patient still carries stigma, while the neighbourhood cannot use the patient-adjacent asset. The medicine is not present in the plan. The patient is not present in the plan. Yet the plan becomes harder because of the medicine.</w:t>
      </w:r>
    </w:p>
    <w:bookmarkEnd w:id="27"/>
    <w:bookmarkStart w:id="28" w:name="why-the-medical-cannabis-pool-matters"/>
    <w:p>
      <w:pPr>
        <w:pStyle w:val="Heading2"/>
      </w:pPr>
      <w:r>
        <w:t xml:space="preserve">4. Why the medical cannabis pool matters</w:t>
      </w:r>
    </w:p>
    <w:p>
      <w:pPr>
        <w:pStyle w:val="FirstParagraph"/>
      </w:pPr>
      <w:r>
        <w:t xml:space="preserve">Medical cannabis users are not a random sample of adults. By definition, they have medical conditions. Some will work full time. Some will not. Some will be disabled, semi-retired, working from home, self-employed, caring, studying, on benefits, supported by family, or otherwise outside the nine-to-five commuter pattern. Compared with all adults, the medical-cannabis group may contain a higher share of people who are at home during school hours and locally rooted.</w:t>
      </w:r>
    </w:p>
    <w:p>
      <w:pPr>
        <w:pStyle w:val="BodyText"/>
      </w:pPr>
      <w:r>
        <w:t xml:space="preserve">That does not mean they should be drafted into service. It means the opportunity-cost calculation changes. The same status that makes a person stigma-marked may also make that person more locally available. A heatwave needs local presence: someone with a key, a tree, a room, a hose, a shaded yard, a community hall booking, a place for boxes of water, or permission to use land. Prohibition residue wastes not only the person but the network of nearby uses attached to the person.</w:t>
      </w:r>
    </w:p>
    <w:p>
      <w:pPr>
        <w:pStyle w:val="BodyText"/>
      </w:pPr>
      <w:r>
        <w:t xml:space="preserve">This is not romantic. Many medical cannabis users are unwell, tired, or managing pain. Some should not be asked for anything. But some may have exactly the kind of low-contact asset that resilience plans need: land, shade, timing, access, storage, or local knowledge. The claim is not</w:t>
      </w:r>
      <w:r>
        <w:t xml:space="preserve"> </w:t>
      </w:r>
      <w:r>
        <w:t xml:space="preserve">“</w:t>
      </w:r>
      <w:r>
        <w:t xml:space="preserve">use patients.</w:t>
      </w:r>
      <w:r>
        <w:t xml:space="preserve">”</w:t>
      </w:r>
      <w:r>
        <w:t xml:space="preserve"> </w:t>
      </w:r>
      <w:r>
        <w:t xml:space="preserve">The claim is</w:t>
      </w:r>
      <w:r>
        <w:t xml:space="preserve"> </w:t>
      </w:r>
      <w:r>
        <w:t xml:space="preserve">“</w:t>
      </w:r>
      <w:r>
        <w:t xml:space="preserve">do not make their non-contact civic assets unusable by stigma.</w:t>
      </w:r>
      <w:r>
        <w:t xml:space="preserve">”</w:t>
      </w:r>
    </w:p>
    <w:p>
      <w:pPr>
        <w:pStyle w:val="BodyText"/>
      </w:pPr>
      <w:r>
        <w:t xml:space="preserve">A prescription may explain why someone is home. It must not make their tree disappear.</w:t>
      </w:r>
    </w:p>
    <w:bookmarkEnd w:id="28"/>
    <w:bookmarkStart w:id="29" w:name="the-childcare-bill-shadow"/>
    <w:p>
      <w:pPr>
        <w:pStyle w:val="Heading2"/>
      </w:pPr>
      <w:r>
        <w:t xml:space="preserve">5. The childcare bill shadow</w:t>
      </w:r>
    </w:p>
    <w:p>
      <w:pPr>
        <w:pStyle w:val="FirstParagraph"/>
      </w:pPr>
      <w:r>
        <w:t xml:space="preserve">When a school closes for one day, the financial impact does not vanish. It moves into households, employers, teachers, and lost learning. One way to model the parent-facing cost is to use holiday childcare prices as a proxy, because a full-day heat closure creates a holiday-like childcare need inside term time.</w:t>
      </w:r>
    </w:p>
    <w:p>
      <w:pPr>
        <w:pStyle w:val="BodyText"/>
      </w:pPr>
      <w:r>
        <w:t xml:space="preserve">Coram Family and Childcare reported in its 2025 Holiday Childcare Survey that the average holiday club cost in Great Britain was GBP 179.33 per week, with England at GBP 178.47. The report also gives regional weekly figures. Dividing by five gives a rough one-day proxy. This is deliberately modest: it excludes scarcity pricing, lost wages, transport, parents who cannot find any place, teacher payroll, admin, lost learning, and employer disruption. [3]</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Area</w:t>
            </w:r>
          </w:p>
        </w:tc>
        <w:tc>
          <w:tcPr/>
          <w:p>
            <w:pPr>
              <w:pStyle w:val="Compact"/>
              <w:jc w:val="right"/>
            </w:pPr>
            <w:r>
              <w:t xml:space="preserve">Region proxy</w:t>
            </w:r>
          </w:p>
        </w:tc>
        <w:tc>
          <w:tcPr/>
          <w:p>
            <w:pPr>
              <w:pStyle w:val="Compact"/>
              <w:jc w:val="right"/>
            </w:pPr>
            <w:r>
              <w:t xml:space="preserve">Club day, GBP</w:t>
            </w:r>
          </w:p>
        </w:tc>
        <w:tc>
          <w:tcPr/>
          <w:p>
            <w:pPr>
              <w:pStyle w:val="Compact"/>
              <w:jc w:val="right"/>
            </w:pPr>
            <w:r>
              <w:t xml:space="preserve">Childminder day, GBP</w:t>
            </w:r>
          </w:p>
        </w:tc>
        <w:tc>
          <w:tcPr/>
          <w:p>
            <w:pPr>
              <w:pStyle w:val="Compact"/>
              <w:jc w:val="right"/>
            </w:pPr>
            <w:r>
              <w:t xml:space="preserve">Class of 30, GBP</w:t>
            </w:r>
          </w:p>
        </w:tc>
        <w:tc>
          <w:tcPr/>
          <w:p>
            <w:pPr>
              <w:pStyle w:val="Compact"/>
              <w:jc w:val="right"/>
            </w:pPr>
            <w:r>
              <w:t xml:space="preserve">10,000 pupils, GBP</w:t>
            </w:r>
          </w:p>
        </w:tc>
      </w:tr>
      <w:tr>
        <w:tc>
          <w:tcPr/>
          <w:p>
            <w:pPr>
              <w:pStyle w:val="Compact"/>
              <w:jc w:val="left"/>
            </w:pPr>
            <w:r>
              <w:t xml:space="preserve">Birmingham proxy</w:t>
            </w:r>
          </w:p>
        </w:tc>
        <w:tc>
          <w:tcPr/>
          <w:p>
            <w:pPr>
              <w:pStyle w:val="Compact"/>
              <w:jc w:val="right"/>
            </w:pPr>
            <w:r>
              <w:t xml:space="preserve">West Midlands</w:t>
            </w:r>
          </w:p>
        </w:tc>
        <w:tc>
          <w:tcPr/>
          <w:p>
            <w:pPr>
              <w:pStyle w:val="Compact"/>
              <w:jc w:val="right"/>
            </w:pPr>
            <w:r>
              <w:t xml:space="preserve">33.48</w:t>
            </w:r>
          </w:p>
        </w:tc>
        <w:tc>
          <w:tcPr/>
          <w:p>
            <w:pPr>
              <w:pStyle w:val="Compact"/>
              <w:jc w:val="right"/>
            </w:pPr>
            <w:r>
              <w:t xml:space="preserve">42.63</w:t>
            </w:r>
          </w:p>
        </w:tc>
        <w:tc>
          <w:tcPr/>
          <w:p>
            <w:pPr>
              <w:pStyle w:val="Compact"/>
              <w:jc w:val="right"/>
            </w:pPr>
            <w:r>
              <w:t xml:space="preserve">1,004.46</w:t>
            </w:r>
          </w:p>
        </w:tc>
        <w:tc>
          <w:tcPr/>
          <w:p>
            <w:pPr>
              <w:pStyle w:val="Compact"/>
              <w:jc w:val="right"/>
            </w:pPr>
            <w:r>
              <w:t xml:space="preserve">334,820</w:t>
            </w:r>
          </w:p>
        </w:tc>
      </w:tr>
      <w:tr>
        <w:tc>
          <w:tcPr/>
          <w:p>
            <w:pPr>
              <w:pStyle w:val="Compact"/>
              <w:jc w:val="left"/>
            </w:pPr>
            <w:r>
              <w:t xml:space="preserve">Manchester proxy</w:t>
            </w:r>
          </w:p>
        </w:tc>
        <w:tc>
          <w:tcPr/>
          <w:p>
            <w:pPr>
              <w:pStyle w:val="Compact"/>
              <w:jc w:val="right"/>
            </w:pPr>
            <w:r>
              <w:t xml:space="preserve">North West</w:t>
            </w:r>
          </w:p>
        </w:tc>
        <w:tc>
          <w:tcPr/>
          <w:p>
            <w:pPr>
              <w:pStyle w:val="Compact"/>
              <w:jc w:val="right"/>
            </w:pPr>
            <w:r>
              <w:t xml:space="preserve">32.48</w:t>
            </w:r>
          </w:p>
        </w:tc>
        <w:tc>
          <w:tcPr/>
          <w:p>
            <w:pPr>
              <w:pStyle w:val="Compact"/>
              <w:jc w:val="right"/>
            </w:pPr>
            <w:r>
              <w:t xml:space="preserve">39.91</w:t>
            </w:r>
          </w:p>
        </w:tc>
        <w:tc>
          <w:tcPr/>
          <w:p>
            <w:pPr>
              <w:pStyle w:val="Compact"/>
              <w:jc w:val="right"/>
            </w:pPr>
            <w:r>
              <w:t xml:space="preserve">974.34</w:t>
            </w:r>
          </w:p>
        </w:tc>
        <w:tc>
          <w:tcPr/>
          <w:p>
            <w:pPr>
              <w:pStyle w:val="Compact"/>
              <w:jc w:val="right"/>
            </w:pPr>
            <w:r>
              <w:t xml:space="preserve">324,780</w:t>
            </w:r>
          </w:p>
        </w:tc>
      </w:tr>
      <w:tr>
        <w:tc>
          <w:tcPr/>
          <w:p>
            <w:pPr>
              <w:pStyle w:val="Compact"/>
              <w:jc w:val="left"/>
            </w:pPr>
            <w:r>
              <w:t xml:space="preserve">London proxy, inner</w:t>
            </w:r>
          </w:p>
        </w:tc>
        <w:tc>
          <w:tcPr/>
          <w:p>
            <w:pPr>
              <w:pStyle w:val="Compact"/>
              <w:jc w:val="right"/>
            </w:pPr>
            <w:r>
              <w:t xml:space="preserve">Inner London</w:t>
            </w:r>
          </w:p>
        </w:tc>
        <w:tc>
          <w:tcPr/>
          <w:p>
            <w:pPr>
              <w:pStyle w:val="Compact"/>
              <w:jc w:val="right"/>
            </w:pPr>
            <w:r>
              <w:t xml:space="preserve">35.54</w:t>
            </w:r>
          </w:p>
        </w:tc>
        <w:tc>
          <w:tcPr/>
          <w:p>
            <w:pPr>
              <w:pStyle w:val="Compact"/>
              <w:jc w:val="right"/>
            </w:pPr>
            <w:r>
              <w:t xml:space="preserve">61.22</w:t>
            </w:r>
          </w:p>
        </w:tc>
        <w:tc>
          <w:tcPr/>
          <w:p>
            <w:pPr>
              <w:pStyle w:val="Compact"/>
              <w:jc w:val="right"/>
            </w:pPr>
            <w:r>
              <w:t xml:space="preserve">1,066.14</w:t>
            </w:r>
          </w:p>
        </w:tc>
        <w:tc>
          <w:tcPr/>
          <w:p>
            <w:pPr>
              <w:pStyle w:val="Compact"/>
              <w:jc w:val="right"/>
            </w:pPr>
            <w:r>
              <w:t xml:space="preserve">355,380</w:t>
            </w:r>
          </w:p>
        </w:tc>
      </w:tr>
      <w:tr>
        <w:tc>
          <w:tcPr/>
          <w:p>
            <w:pPr>
              <w:pStyle w:val="Compact"/>
              <w:jc w:val="left"/>
            </w:pPr>
            <w:r>
              <w:t xml:space="preserve">London proxy, outer</w:t>
            </w:r>
          </w:p>
        </w:tc>
        <w:tc>
          <w:tcPr/>
          <w:p>
            <w:pPr>
              <w:pStyle w:val="Compact"/>
              <w:jc w:val="right"/>
            </w:pPr>
            <w:r>
              <w:t xml:space="preserve">Outer London</w:t>
            </w:r>
          </w:p>
        </w:tc>
        <w:tc>
          <w:tcPr/>
          <w:p>
            <w:pPr>
              <w:pStyle w:val="Compact"/>
              <w:jc w:val="right"/>
            </w:pPr>
            <w:r>
              <w:t xml:space="preserve">33.91</w:t>
            </w:r>
          </w:p>
        </w:tc>
        <w:tc>
          <w:tcPr/>
          <w:p>
            <w:pPr>
              <w:pStyle w:val="Compact"/>
              <w:jc w:val="right"/>
            </w:pPr>
            <w:r>
              <w:t xml:space="preserve">56.02</w:t>
            </w:r>
          </w:p>
        </w:tc>
        <w:tc>
          <w:tcPr/>
          <w:p>
            <w:pPr>
              <w:pStyle w:val="Compact"/>
              <w:jc w:val="right"/>
            </w:pPr>
            <w:r>
              <w:t xml:space="preserve">1,017.24</w:t>
            </w:r>
          </w:p>
        </w:tc>
        <w:tc>
          <w:tcPr/>
          <w:p>
            <w:pPr>
              <w:pStyle w:val="Compact"/>
              <w:jc w:val="right"/>
            </w:pPr>
            <w:r>
              <w:t xml:space="preserve">339,080</w:t>
            </w:r>
          </w:p>
        </w:tc>
      </w:tr>
      <w:tr>
        <w:tc>
          <w:tcPr/>
          <w:p>
            <w:pPr>
              <w:pStyle w:val="Compact"/>
              <w:jc w:val="left"/>
            </w:pPr>
            <w:r>
              <w:t xml:space="preserve">Rural-ish proxy</w:t>
            </w:r>
          </w:p>
        </w:tc>
        <w:tc>
          <w:tcPr/>
          <w:p>
            <w:pPr>
              <w:pStyle w:val="Compact"/>
              <w:jc w:val="right"/>
            </w:pPr>
            <w:r>
              <w:t xml:space="preserve">South West</w:t>
            </w:r>
          </w:p>
        </w:tc>
        <w:tc>
          <w:tcPr/>
          <w:p>
            <w:pPr>
              <w:pStyle w:val="Compact"/>
              <w:jc w:val="right"/>
            </w:pPr>
            <w:r>
              <w:t xml:space="preserve">33.96</w:t>
            </w:r>
          </w:p>
        </w:tc>
        <w:tc>
          <w:tcPr/>
          <w:p>
            <w:pPr>
              <w:pStyle w:val="Compact"/>
              <w:jc w:val="right"/>
            </w:pPr>
            <w:r>
              <w:t xml:space="preserve">38.26</w:t>
            </w:r>
          </w:p>
        </w:tc>
        <w:tc>
          <w:tcPr/>
          <w:p>
            <w:pPr>
              <w:pStyle w:val="Compact"/>
              <w:jc w:val="right"/>
            </w:pPr>
            <w:r>
              <w:t xml:space="preserve">1,018.74</w:t>
            </w:r>
          </w:p>
        </w:tc>
        <w:tc>
          <w:tcPr/>
          <w:p>
            <w:pPr>
              <w:pStyle w:val="Compact"/>
              <w:jc w:val="right"/>
            </w:pPr>
            <w:r>
              <w:t xml:space="preserve">339,580</w:t>
            </w:r>
          </w:p>
        </w:tc>
      </w:tr>
    </w:tbl>
    <w:p>
      <w:pPr>
        <w:pStyle w:val="BodyText"/>
      </w:pPr>
      <w:r>
        <w:t xml:space="preserve">The table is not a bill presented to government. It is a scale marker. A single displaced class is roughly a GBP 1,000 childcare problem at holiday-club prices. Ten thousand displaced pupils are roughly a GBP 325,000 to GBP 355,000 event before any lost wages or lost learning are counted. Inner London childminder costs push the shadow much higher.</w:t>
      </w:r>
    </w:p>
    <w:p>
      <w:pPr>
        <w:pStyle w:val="BodyText"/>
      </w:pPr>
      <w:r>
        <w:t xml:space="preserve">The point is not that a private garden solves this. It does not. The point is that cities already contain hidden micro-capacity. When a system cannot activate that capacity, it buys the same problem again as childcare cost, work absence, lost school time, and crisis admin.</w:t>
      </w:r>
    </w:p>
    <w:bookmarkEnd w:id="29"/>
    <w:bookmarkStart w:id="30" w:name="affordance-intake-table"/>
    <w:p>
      <w:pPr>
        <w:pStyle w:val="Heading2"/>
      </w:pPr>
      <w:r>
        <w:t xml:space="preserve">6. Affordance intake table</w:t>
      </w:r>
    </w:p>
    <w:p>
      <w:pPr>
        <w:pStyle w:val="FirstParagraph"/>
      </w:pPr>
      <w:r>
        <w:t xml:space="preserve">A real civic route needs a way to inspect the resource before stigma decides the answer.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Resource</w:t>
            </w:r>
          </w:p>
        </w:tc>
        <w:tc>
          <w:tcPr/>
          <w:p>
            <w:pPr>
              <w:pStyle w:val="Compact"/>
              <w:jc w:val="left"/>
            </w:pPr>
            <w:r>
              <w:t xml:space="preserve">Possible use</w:t>
            </w:r>
          </w:p>
        </w:tc>
        <w:tc>
          <w:tcPr/>
          <w:p>
            <w:pPr>
              <w:pStyle w:val="Compact"/>
              <w:jc w:val="left"/>
            </w:pPr>
            <w:r>
              <w:t xml:space="preserve">Custody holder</w:t>
            </w:r>
          </w:p>
        </w:tc>
        <w:tc>
          <w:tcPr/>
          <w:p>
            <w:pPr>
              <w:pStyle w:val="Compact"/>
              <w:jc w:val="left"/>
            </w:pPr>
            <w:r>
              <w:t xml:space="preserve">Contact needed</w:t>
            </w:r>
          </w:p>
        </w:tc>
        <w:tc>
          <w:tcPr/>
          <w:p>
            <w:pPr>
              <w:pStyle w:val="Compact"/>
              <w:jc w:val="left"/>
            </w:pPr>
            <w:r>
              <w:t xml:space="preserve">Inspection question</w:t>
            </w:r>
          </w:p>
        </w:tc>
        <w:tc>
          <w:tcPr/>
          <w:p>
            <w:pPr>
              <w:pStyle w:val="Compact"/>
              <w:jc w:val="left"/>
            </w:pPr>
            <w:r>
              <w:t xml:space="preserve">Refusal reason if rejected</w:t>
            </w:r>
          </w:p>
        </w:tc>
      </w:tr>
      <w:tr>
        <w:tc>
          <w:tcPr/>
          <w:p>
            <w:pPr>
              <w:pStyle w:val="Compact"/>
              <w:jc w:val="left"/>
            </w:pPr>
            <w:r>
              <w:t xml:space="preserve">shaded garden</w:t>
            </w:r>
          </w:p>
        </w:tc>
        <w:tc>
          <w:tcPr/>
          <w:p>
            <w:pPr>
              <w:pStyle w:val="Compact"/>
              <w:jc w:val="left"/>
            </w:pPr>
            <w:r>
              <w:t xml:space="preserve">heatwave outdoor waiting or lesson</w:t>
            </w:r>
          </w:p>
        </w:tc>
        <w:tc>
          <w:tcPr/>
          <w:p>
            <w:pPr>
              <w:pStyle w:val="Compact"/>
              <w:jc w:val="left"/>
            </w:pPr>
            <w:r>
              <w:t xml:space="preserve">school staff</w:t>
            </w:r>
          </w:p>
        </w:tc>
        <w:tc>
          <w:tcPr/>
          <w:p>
            <w:pPr>
              <w:pStyle w:val="Compact"/>
              <w:jc w:val="left"/>
            </w:pPr>
            <w:r>
              <w:t xml:space="preserve">none if landholder leaves</w:t>
            </w:r>
          </w:p>
        </w:tc>
        <w:tc>
          <w:tcPr/>
          <w:p>
            <w:pPr>
              <w:pStyle w:val="Compact"/>
              <w:jc w:val="left"/>
            </w:pPr>
            <w:r>
              <w:t xml:space="preserve">ground, boundaries, access, branch risk, water, toilet plan</w:t>
            </w:r>
          </w:p>
        </w:tc>
        <w:tc>
          <w:tcPr/>
          <w:p>
            <w:pPr>
              <w:pStyle w:val="Compact"/>
              <w:jc w:val="left"/>
            </w:pPr>
            <w:r>
              <w:t xml:space="preserve">unsafe site, unsuitable route, no custody path</w:t>
            </w:r>
          </w:p>
        </w:tc>
      </w:tr>
      <w:tr>
        <w:tc>
          <w:tcPr/>
          <w:p>
            <w:pPr>
              <w:pStyle w:val="Compact"/>
              <w:jc w:val="left"/>
            </w:pPr>
            <w:r>
              <w:t xml:space="preserve">hall</w:t>
            </w:r>
          </w:p>
        </w:tc>
        <w:tc>
          <w:tcPr/>
          <w:p>
            <w:pPr>
              <w:pStyle w:val="Compact"/>
              <w:jc w:val="left"/>
            </w:pPr>
            <w:r>
              <w:t xml:space="preserve">cooling, assembly, storage, indoor respite</w:t>
            </w:r>
          </w:p>
        </w:tc>
        <w:tc>
          <w:tcPr/>
          <w:p>
            <w:pPr>
              <w:pStyle w:val="Compact"/>
              <w:jc w:val="left"/>
            </w:pPr>
            <w:r>
              <w:t xml:space="preserve">school, council, venue staff</w:t>
            </w:r>
          </w:p>
        </w:tc>
        <w:tc>
          <w:tcPr/>
          <w:p>
            <w:pPr>
              <w:pStyle w:val="Compact"/>
              <w:jc w:val="left"/>
            </w:pPr>
            <w:r>
              <w:t xml:space="preserve">bounded key handoff only</w:t>
            </w:r>
          </w:p>
        </w:tc>
        <w:tc>
          <w:tcPr/>
          <w:p>
            <w:pPr>
              <w:pStyle w:val="Compact"/>
              <w:jc w:val="left"/>
            </w:pPr>
            <w:r>
              <w:t xml:space="preserve">exits, insurance, safeguarding boundary, toilets, capacity</w:t>
            </w:r>
          </w:p>
        </w:tc>
        <w:tc>
          <w:tcPr/>
          <w:p>
            <w:pPr>
              <w:pStyle w:val="Compact"/>
              <w:jc w:val="left"/>
            </w:pPr>
            <w:r>
              <w:t xml:space="preserve">capacity, fire route, staffing, access</w:t>
            </w:r>
          </w:p>
        </w:tc>
      </w:tr>
      <w:tr>
        <w:tc>
          <w:tcPr/>
          <w:p>
            <w:pPr>
              <w:pStyle w:val="Compact"/>
              <w:jc w:val="left"/>
            </w:pPr>
            <w:r>
              <w:t xml:space="preserve">side gate or route</w:t>
            </w:r>
          </w:p>
        </w:tc>
        <w:tc>
          <w:tcPr/>
          <w:p>
            <w:pPr>
              <w:pStyle w:val="Compact"/>
              <w:jc w:val="left"/>
            </w:pPr>
            <w:r>
              <w:t xml:space="preserve">short safe walk to shade or water</w:t>
            </w:r>
          </w:p>
        </w:tc>
        <w:tc>
          <w:tcPr/>
          <w:p>
            <w:pPr>
              <w:pStyle w:val="Compact"/>
              <w:jc w:val="left"/>
            </w:pPr>
            <w:r>
              <w:t xml:space="preserve">school staff</w:t>
            </w:r>
          </w:p>
        </w:tc>
        <w:tc>
          <w:tcPr/>
          <w:p>
            <w:pPr>
              <w:pStyle w:val="Compact"/>
              <w:jc w:val="left"/>
            </w:pPr>
            <w:r>
              <w:t xml:space="preserve">no ongoing contact</w:t>
            </w:r>
          </w:p>
        </w:tc>
        <w:tc>
          <w:tcPr/>
          <w:p>
            <w:pPr>
              <w:pStyle w:val="Compact"/>
              <w:jc w:val="left"/>
            </w:pPr>
            <w:r>
              <w:t xml:space="preserve">route length, crossing risk, visibility, access control</w:t>
            </w:r>
          </w:p>
        </w:tc>
        <w:tc>
          <w:tcPr/>
          <w:p>
            <w:pPr>
              <w:pStyle w:val="Compact"/>
              <w:jc w:val="left"/>
            </w:pPr>
            <w:r>
              <w:t xml:space="preserve">unsafe route, poor visibility, no return path</w:t>
            </w:r>
          </w:p>
        </w:tc>
      </w:tr>
      <w:tr>
        <w:tc>
          <w:tcPr/>
          <w:p>
            <w:pPr>
              <w:pStyle w:val="Compact"/>
              <w:jc w:val="left"/>
            </w:pPr>
            <w:r>
              <w:t xml:space="preserve">water point</w:t>
            </w:r>
          </w:p>
        </w:tc>
        <w:tc>
          <w:tcPr/>
          <w:p>
            <w:pPr>
              <w:pStyle w:val="Compact"/>
              <w:jc w:val="left"/>
            </w:pPr>
            <w:r>
              <w:t xml:space="preserve">heatwave hydration</w:t>
            </w:r>
          </w:p>
        </w:tc>
        <w:tc>
          <w:tcPr/>
          <w:p>
            <w:pPr>
              <w:pStyle w:val="Compact"/>
              <w:jc w:val="left"/>
            </w:pPr>
            <w:r>
              <w:t xml:space="preserve">school staff or site custodian</w:t>
            </w:r>
          </w:p>
        </w:tc>
        <w:tc>
          <w:tcPr/>
          <w:p>
            <w:pPr>
              <w:pStyle w:val="Compact"/>
              <w:jc w:val="left"/>
            </w:pPr>
            <w:r>
              <w:t xml:space="preserve">no child contact needed</w:t>
            </w:r>
          </w:p>
        </w:tc>
        <w:tc>
          <w:tcPr/>
          <w:p>
            <w:pPr>
              <w:pStyle w:val="Compact"/>
              <w:jc w:val="left"/>
            </w:pPr>
            <w:r>
              <w:t xml:space="preserve">water safety, access, supervision, supply</w:t>
            </w:r>
          </w:p>
        </w:tc>
        <w:tc>
          <w:tcPr/>
          <w:p>
            <w:pPr>
              <w:pStyle w:val="Compact"/>
              <w:jc w:val="left"/>
            </w:pPr>
            <w:r>
              <w:t xml:space="preserve">unsafe access, unreliable supply</w:t>
            </w:r>
          </w:p>
        </w:tc>
      </w:tr>
      <w:tr>
        <w:tc>
          <w:tcPr/>
          <w:p>
            <w:pPr>
              <w:pStyle w:val="Compact"/>
              <w:jc w:val="left"/>
            </w:pPr>
            <w:r>
              <w:t xml:space="preserve">battery bank or charger</w:t>
            </w:r>
          </w:p>
        </w:tc>
        <w:tc>
          <w:tcPr/>
          <w:p>
            <w:pPr>
              <w:pStyle w:val="Compact"/>
              <w:jc w:val="left"/>
            </w:pPr>
            <w:r>
              <w:t xml:space="preserve">phone, fan, or device support</w:t>
            </w:r>
          </w:p>
        </w:tc>
        <w:tc>
          <w:tcPr/>
          <w:p>
            <w:pPr>
              <w:pStyle w:val="Compact"/>
              <w:jc w:val="left"/>
            </w:pPr>
            <w:r>
              <w:t xml:space="preserve">school, council, community group</w:t>
            </w:r>
          </w:p>
        </w:tc>
        <w:tc>
          <w:tcPr/>
          <w:p>
            <w:pPr>
              <w:pStyle w:val="Compact"/>
              <w:jc w:val="left"/>
            </w:pPr>
            <w:r>
              <w:t xml:space="preserve">item handoff only</w:t>
            </w:r>
          </w:p>
        </w:tc>
        <w:tc>
          <w:tcPr/>
          <w:p>
            <w:pPr>
              <w:pStyle w:val="Compact"/>
              <w:jc w:val="left"/>
            </w:pPr>
            <w:r>
              <w:t xml:space="preserve">electrical safety, storage, charging plan</w:t>
            </w:r>
          </w:p>
        </w:tc>
        <w:tc>
          <w:tcPr/>
          <w:p>
            <w:pPr>
              <w:pStyle w:val="Compact"/>
              <w:jc w:val="left"/>
            </w:pPr>
            <w:r>
              <w:t xml:space="preserve">unsafe equipment, no supervision</w:t>
            </w:r>
          </w:p>
        </w:tc>
      </w:tr>
      <w:tr>
        <w:tc>
          <w:tcPr/>
          <w:p>
            <w:pPr>
              <w:pStyle w:val="Compact"/>
              <w:jc w:val="left"/>
            </w:pPr>
            <w:r>
              <w:t xml:space="preserve">local knowledge</w:t>
            </w:r>
          </w:p>
        </w:tc>
        <w:tc>
          <w:tcPr/>
          <w:p>
            <w:pPr>
              <w:pStyle w:val="Compact"/>
              <w:jc w:val="left"/>
            </w:pPr>
            <w:r>
              <w:t xml:space="preserve">route, flood, heat, access, timing</w:t>
            </w:r>
          </w:p>
        </w:tc>
        <w:tc>
          <w:tcPr/>
          <w:p>
            <w:pPr>
              <w:pStyle w:val="Compact"/>
              <w:jc w:val="left"/>
            </w:pPr>
            <w:r>
              <w:t xml:space="preserve">institution using the information</w:t>
            </w:r>
          </w:p>
        </w:tc>
        <w:tc>
          <w:tcPr/>
          <w:p>
            <w:pPr>
              <w:pStyle w:val="Compact"/>
              <w:jc w:val="left"/>
            </w:pPr>
            <w:r>
              <w:t xml:space="preserve">conversation only</w:t>
            </w:r>
          </w:p>
        </w:tc>
        <w:tc>
          <w:tcPr/>
          <w:p>
            <w:pPr>
              <w:pStyle w:val="Compact"/>
              <w:jc w:val="left"/>
            </w:pPr>
            <w:r>
              <w:t xml:space="preserve">source limits, verification, map value</w:t>
            </w:r>
          </w:p>
        </w:tc>
        <w:tc>
          <w:tcPr/>
          <w:p>
            <w:pPr>
              <w:pStyle w:val="Compact"/>
              <w:jc w:val="left"/>
            </w:pPr>
            <w:r>
              <w:t xml:space="preserve">unverifiable or unusable information</w:t>
            </w:r>
          </w:p>
        </w:tc>
      </w:tr>
    </w:tbl>
    <w:p>
      <w:pPr>
        <w:pStyle w:val="BodyText"/>
      </w:pPr>
      <w:r>
        <w:t xml:space="preserve">Success is not</w:t>
      </w:r>
      <w:r>
        <w:t xml:space="preserve"> </w:t>
      </w:r>
      <w:r>
        <w:t xml:space="preserve">“</w:t>
      </w:r>
      <w:r>
        <w:t xml:space="preserve">use every offer.</w:t>
      </w:r>
      <w:r>
        <w:t xml:space="preserve">”</w:t>
      </w:r>
      <w:r>
        <w:t xml:space="preserve"> </w:t>
      </w:r>
      <w:r>
        <w:t xml:space="preserve">Success is: seen, described, evaluated, bounded into use, or rejected with a stated reason.</w:t>
      </w:r>
    </w:p>
    <w:p>
      <w:pPr>
        <w:pStyle w:val="BodyText"/>
      </w:pPr>
      <w:r>
        <w:t xml:space="preserve">A city that cannot record unused capacity will keep believing shortage is natural.</w:t>
      </w:r>
    </w:p>
    <w:bookmarkEnd w:id="30"/>
    <w:bookmarkStart w:id="31" w:name="imami-and-the-no-contact-offer"/>
    <w:p>
      <w:pPr>
        <w:pStyle w:val="Heading2"/>
      </w:pPr>
      <w:r>
        <w:t xml:space="preserve">7. IMAMI and the no-contact offer</w:t>
      </w:r>
    </w:p>
    <w:p>
      <w:pPr>
        <w:pStyle w:val="FirstParagraph"/>
      </w:pPr>
      <w:r>
        <w:t xml:space="preserve">IMAMI matters because an offer of an asset is not automatically an offer of presence, contact, naming, labour, or public role.</w:t>
      </w:r>
    </w:p>
    <w:p>
      <w:pPr>
        <w:pStyle w:val="BodyText"/>
      </w:pPr>
      <w:r>
        <w:t xml:space="preserve">The landholder may say:</w:t>
      </w:r>
    </w:p>
    <w:p>
      <w:pPr>
        <w:pStyle w:val="SourceCode"/>
      </w:pPr>
      <w:r>
        <w:rPr>
          <w:rStyle w:val="VerbatimChar"/>
        </w:rPr>
        <w:t xml:space="preserve">yes to shade</w:t>
      </w:r>
      <w:r>
        <w:br/>
      </w:r>
      <w:r>
        <w:rPr>
          <w:rStyle w:val="VerbatimChar"/>
        </w:rPr>
        <w:t xml:space="preserve">no to presence</w:t>
      </w:r>
      <w:r>
        <w:br/>
      </w:r>
      <w:r>
        <w:rPr>
          <w:rStyle w:val="VerbatimChar"/>
        </w:rPr>
        <w:t xml:space="preserve">no to contact</w:t>
      </w:r>
      <w:r>
        <w:br/>
      </w:r>
      <w:r>
        <w:rPr>
          <w:rStyle w:val="VerbatimChar"/>
        </w:rPr>
        <w:t xml:space="preserve">no to childcare role</w:t>
      </w:r>
      <w:r>
        <w:br/>
      </w:r>
      <w:r>
        <w:rPr>
          <w:rStyle w:val="VerbatimChar"/>
        </w:rPr>
        <w:t xml:space="preserve">no to public naming</w:t>
      </w:r>
      <w:r>
        <w:br/>
      </w:r>
      <w:r>
        <w:rPr>
          <w:rStyle w:val="VerbatimChar"/>
        </w:rPr>
        <w:t xml:space="preserve">no to being made a symbol</w:t>
      </w:r>
      <w:r>
        <w:br/>
      </w:r>
      <w:r>
        <w:rPr>
          <w:rStyle w:val="VerbatimChar"/>
        </w:rPr>
        <w:t xml:space="preserve">yes only to the bounded use of the asset</w:t>
      </w:r>
    </w:p>
    <w:p>
      <w:pPr>
        <w:pStyle w:val="FirstParagraph"/>
      </w:pPr>
      <w:r>
        <w:t xml:space="preserve">That is not evasive. It is the offer boundary.</w:t>
      </w:r>
    </w:p>
    <w:p>
      <w:pPr>
        <w:pStyle w:val="BodyText"/>
      </w:pPr>
      <w:r>
        <w:t xml:space="preserve">In the nice-lady case, the strongest design may be absence. The landholder unlocks, leaves, and returns after the school group has gone. If any presence is required, it must be stated as a separate ask. If any naming is required, it must be stated as a separate ask. If any safeguarding or insurance rule prevents use without contact, then the reason should be logged as a design barrier, not hidden inside a general discomfort with the medicine.</w:t>
      </w:r>
    </w:p>
    <w:p>
      <w:pPr>
        <w:pStyle w:val="BodyText"/>
      </w:pPr>
      <w:r>
        <w:t xml:space="preserve">No contact means no contact.</w:t>
      </w:r>
    </w:p>
    <w:bookmarkEnd w:id="31"/>
    <w:bookmarkStart w:id="32" w:name="what-a-real-route-would-need"/>
    <w:p>
      <w:pPr>
        <w:pStyle w:val="Heading2"/>
      </w:pPr>
      <w:r>
        <w:t xml:space="preserve">8. What a real route would need</w:t>
      </w:r>
    </w:p>
    <w:p>
      <w:pPr>
        <w:pStyle w:val="FirstParagraph"/>
      </w:pPr>
      <w:r>
        <w:t xml:space="preserve">A serious micro-site route would not be informal chaos. It would need a civic pathway. The pathway could be simple: register the offer; inspect the site; list required fixes; approve the site only for specific uses; keep staff custody with the school or council; keep the landholder absent; forbid medicine access; log entry and exit; time-limit the use; review after the event.</w:t>
      </w:r>
    </w:p>
    <w:p>
      <w:pPr>
        <w:pStyle w:val="BodyText"/>
      </w:pPr>
      <w:r>
        <w:t xml:space="preserve">This is ordinary risk management. It is not a request to suspend safeguarding. It is a request not to let stigma speak before risk assessment begins. A tree should fail because a branch is unsafe, not because the landholder has a prescription. A hall should fail because access is poor, not because the key-holder uses a foreign-person medicine. A room should fail because it lacks ventilation, not because the owner is socially inconvenient.</w:t>
      </w:r>
    </w:p>
    <w:p>
      <w:pPr>
        <w:pStyle w:val="BodyText"/>
      </w:pPr>
      <w:r>
        <w:t xml:space="preserve">The useful civic design principle is: assess the asset, define the contact boundary, keep custody with the responsible institution, and do not let drug-war residue define the whole person.</w:t>
      </w:r>
    </w:p>
    <w:bookmarkEnd w:id="32"/>
    <w:bookmarkStart w:id="33" w:name="X27165f3886769d6ae675fea91759571e93fc4c1"/>
    <w:p>
      <w:pPr>
        <w:pStyle w:val="Heading2"/>
      </w:pPr>
      <w:r>
        <w:t xml:space="preserve">9. Relation to the Shaded Classroom and Helper papers</w:t>
      </w:r>
    </w:p>
    <w:p>
      <w:pPr>
        <w:pStyle w:val="FirstParagraph"/>
      </w:pPr>
      <w:r>
        <w:t xml:space="preserve">The Shaded Classroom Problem names the general asset-first pattern: the civic resource exists, but the risk parser arrives before the design parser and eats the affordance.</w:t>
      </w:r>
    </w:p>
    <w:p>
      <w:pPr>
        <w:pStyle w:val="BodyText"/>
      </w:pPr>
      <w:r>
        <w:t xml:space="preserve">The Helper Who Must Not Appear names the person-route pattern: a person may be socially marked while holding a useful route to space, timing, tools, memory, or access.</w:t>
      </w:r>
    </w:p>
    <w:p>
      <w:pPr>
        <w:pStyle w:val="BodyText"/>
      </w:pPr>
      <w:r>
        <w:t xml:space="preserve">The Unused Tree is the applied case. It brings those two patterns into the same heatwave scene. The shaded garden is the asset. The cannabis patient is the marked person-route. The proposed arrangement keeps the route useful while keeping the person out of the child-facing role.</w:t>
      </w:r>
    </w:p>
    <w:p>
      <w:pPr>
        <w:pStyle w:val="BodyText"/>
      </w:pPr>
      <w:r>
        <w:t xml:space="preserve">The helper does not have to appear for the asset to count.</w:t>
      </w:r>
    </w:p>
    <w:bookmarkEnd w:id="33"/>
    <w:bookmarkStart w:id="34" w:name="act-is-not-object-bridge"/>
    <w:p>
      <w:pPr>
        <w:pStyle w:val="Heading2"/>
      </w:pPr>
      <w:r>
        <w:t xml:space="preserve">10. Act Is Not Object bridge</w:t>
      </w:r>
    </w:p>
    <w:p>
      <w:pPr>
        <w:pStyle w:val="FirstParagraph"/>
      </w:pPr>
      <w:r>
        <w:t xml:space="preserve">Medicine status is not the civic act. A lawful prescription is not the same object as a school arrangement.</w:t>
      </w:r>
    </w:p>
    <w:p>
      <w:pPr>
        <w:pStyle w:val="BodyText"/>
      </w:pPr>
      <w:r>
        <w:t xml:space="preserve">The question is not</w:t>
      </w:r>
      <w:r>
        <w:t xml:space="preserve"> </w:t>
      </w:r>
      <w:r>
        <w:t xml:space="preserve">“</w:t>
      </w:r>
      <w:r>
        <w:t xml:space="preserve">is there cannabis?</w:t>
      </w:r>
      <w:r>
        <w:t xml:space="preserve">”</w:t>
      </w:r>
      <w:r>
        <w:t xml:space="preserve"> </w:t>
      </w:r>
      <w:r>
        <w:t xml:space="preserve">The question is: what act is proposed, by whom, with what asset, under whose custody, with what contact boundary, and under what rule?</w:t>
      </w:r>
    </w:p>
    <w:p>
      <w:pPr>
        <w:pStyle w:val="BodyText"/>
      </w:pPr>
      <w:r>
        <w:t xml:space="preserve">In the nice-lady case, the proposed act is not cannabis use, childcare, supervision, treatment, teaching, or contact. The proposed act is temporary institutional use of shaded land under staff custody while the landholder is absent.</w:t>
      </w:r>
    </w:p>
    <w:p>
      <w:pPr>
        <w:pStyle w:val="BodyText"/>
      </w:pPr>
      <w:r>
        <w:t xml:space="preserve">Act Is Not Object gives the sentence discipline:</w:t>
      </w:r>
    </w:p>
    <w:p>
      <w:pPr>
        <w:pStyle w:val="SourceCode"/>
      </w:pPr>
      <w:r>
        <w:rPr>
          <w:rStyle w:val="VerbatimChar"/>
        </w:rPr>
        <w:t xml:space="preserve">This actor did this act with this object in this relation under this rule.</w:t>
      </w:r>
    </w:p>
    <w:p>
      <w:pPr>
        <w:pStyle w:val="FirstParagraph"/>
      </w:pPr>
      <w:r>
        <w:t xml:space="preserve">Until that sentence is formed, panic has not yet named the civic object.</w:t>
      </w:r>
    </w:p>
    <w:bookmarkEnd w:id="34"/>
    <w:bookmarkStart w:id="35" w:name="foreign-person-medicines"/>
    <w:p>
      <w:pPr>
        <w:pStyle w:val="Heading2"/>
      </w:pPr>
      <w:r>
        <w:t xml:space="preserve">11. Foreign-person medicines</w:t>
      </w:r>
    </w:p>
    <w:p>
      <w:pPr>
        <w:pStyle w:val="FirstParagraph"/>
      </w:pPr>
      <w:r>
        <w:t xml:space="preserve">“</w:t>
      </w:r>
      <w:r>
        <w:t xml:space="preserve">Illegal drugs</w:t>
      </w:r>
      <w:r>
        <w:t xml:space="preserve">”</w:t>
      </w:r>
      <w:r>
        <w:t xml:space="preserve"> </w:t>
      </w:r>
      <w:r>
        <w:t xml:space="preserve">is a bad object phrase. It hides the act/object split. A substance is not naughty. Acts are regulated, licensed, forbidden, tolerated, ignored, punished, or medicalised. The phrase also hides the history of which substances became attached to outsiders, migrants, racialised groups, colonial fear, moral panic, and police power.</w:t>
      </w:r>
    </w:p>
    <w:p>
      <w:pPr>
        <w:pStyle w:val="BodyText"/>
      </w:pPr>
      <w:r>
        <w:t xml:space="preserve">“</w:t>
      </w:r>
      <w:r>
        <w:t xml:space="preserve">Foreign-person medicines</w:t>
      </w:r>
      <w:r>
        <w:t xml:space="preserve">”</w:t>
      </w:r>
      <w:r>
        <w:t xml:space="preserve"> </w:t>
      </w:r>
      <w:r>
        <w:t xml:space="preserve">is blunt, but useful as a political name. It points to the pattern: a plant or substance associated with outsiders is denied ordinary medicine status, then people who use it are treated as socially suspect even when the law later admits medical use. The civic cost outlasts the legal change. A prescription may make the medicine lawful, but not yet socially ordinary.</w:t>
      </w:r>
    </w:p>
    <w:p>
      <w:pPr>
        <w:pStyle w:val="BodyText"/>
      </w:pPr>
      <w:r>
        <w:t xml:space="preserve">In the nice-lady case, nobody needs to agree about cannabis as a cultural symbol. The arrangement does not involve cannabis use. The woman is absent. The staff are in charge. The space has to pass the same safety gate as any other space. If the plan is still harder to say, then the obstacle is not the medicine itself. The obstacle is the residue around the medicine.</w:t>
      </w:r>
    </w:p>
    <w:bookmarkEnd w:id="35"/>
    <w:bookmarkStart w:id="36" w:name="what-this-paper-is-not-saying"/>
    <w:p>
      <w:pPr>
        <w:pStyle w:val="Heading2"/>
      </w:pPr>
      <w:r>
        <w:t xml:space="preserve">12. What this paper is not saying</w:t>
      </w:r>
    </w:p>
    <w:p>
      <w:pPr>
        <w:pStyle w:val="FirstParagraph"/>
      </w:pPr>
      <w:r>
        <w:t xml:space="preserve">This paper is not saying schools should use random gardens.</w:t>
      </w:r>
    </w:p>
    <w:p>
      <w:pPr>
        <w:pStyle w:val="BodyText"/>
      </w:pPr>
      <w:r>
        <w:t xml:space="preserve">It is not saying safeguarding is overblown.</w:t>
      </w:r>
    </w:p>
    <w:p>
      <w:pPr>
        <w:pStyle w:val="BodyText"/>
      </w:pPr>
      <w:r>
        <w:t xml:space="preserve">It is not saying medical cannabis users are automatically safe people.</w:t>
      </w:r>
    </w:p>
    <w:p>
      <w:pPr>
        <w:pStyle w:val="BodyText"/>
      </w:pPr>
      <w:r>
        <w:t xml:space="preserve">It is not saying medical cannabis users should become unpaid emergency workers.</w:t>
      </w:r>
    </w:p>
    <w:p>
      <w:pPr>
        <w:pStyle w:val="BodyText"/>
      </w:pPr>
      <w:r>
        <w:t xml:space="preserve">It is not saying private land should replace public climate adaptation.</w:t>
      </w:r>
    </w:p>
    <w:p>
      <w:pPr>
        <w:pStyle w:val="BodyText"/>
      </w:pPr>
      <w:r>
        <w:t xml:space="preserve">It is saying that climate disruption makes local flexibility more valuable, while drug-war stigma makes some local flexibility harder to use. The result is an opportunity cost that does not appear in drug-policy accounts. Nobody invoices the unused tree. Nobody counts the garden that could not be offered. Nobody logs the hall that never entered the plan because the person with the key was marked as awkward.</w:t>
      </w:r>
    </w:p>
    <w:bookmarkEnd w:id="36"/>
    <w:bookmarkStart w:id="37" w:name="the-good-bad-reader-pass"/>
    <w:p>
      <w:pPr>
        <w:pStyle w:val="Heading2"/>
      </w:pPr>
      <w:r>
        <w:t xml:space="preserve">13. The Good Bad Reader pass</w:t>
      </w:r>
    </w:p>
    <w:p>
      <w:pPr>
        <w:pStyle w:val="FirstParagraph"/>
      </w:pPr>
      <w:r>
        <w:t xml:space="preserve">The Good Bad Reader will try to turn this paper into one of the following wrong objects: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Intended object</w:t>
            </w:r>
          </w:p>
        </w:tc>
        <w:tc>
          <w:tcPr/>
          <w:p>
            <w:pPr>
              <w:pStyle w:val="Compact"/>
              <w:jc w:val="left"/>
            </w:pPr>
            <w:r>
              <w:t xml:space="preserve">Likely bad reading</w:t>
            </w:r>
          </w:p>
        </w:tc>
        <w:tc>
          <w:tcPr/>
          <w:p>
            <w:pPr>
              <w:pStyle w:val="Compact"/>
              <w:jc w:val="left"/>
            </w:pPr>
            <w:r>
              <w:t xml:space="preserve">Fence</w:t>
            </w:r>
          </w:p>
        </w:tc>
      </w:tr>
      <w:tr>
        <w:tc>
          <w:tcPr/>
          <w:p>
            <w:pPr>
              <w:pStyle w:val="Compact"/>
              <w:jc w:val="left"/>
            </w:pPr>
            <w:r>
              <w:t xml:space="preserve">unused local shade</w:t>
            </w:r>
          </w:p>
        </w:tc>
        <w:tc>
          <w:tcPr/>
          <w:p>
            <w:pPr>
              <w:pStyle w:val="Compact"/>
              <w:jc w:val="left"/>
            </w:pPr>
            <w:r>
              <w:t xml:space="preserve">patients should run childcare</w:t>
            </w:r>
          </w:p>
        </w:tc>
        <w:tc>
          <w:tcPr/>
          <w:p>
            <w:pPr>
              <w:pStyle w:val="Compact"/>
              <w:jc w:val="left"/>
            </w:pPr>
            <w:r>
              <w:t xml:space="preserve">Staff keep custody; the landholder may leave</w:t>
            </w:r>
          </w:p>
        </w:tc>
      </w:tr>
      <w:tr>
        <w:tc>
          <w:tcPr/>
          <w:p>
            <w:pPr>
              <w:pStyle w:val="Compact"/>
              <w:jc w:val="left"/>
            </w:pPr>
            <w:r>
              <w:t xml:space="preserve">asset inspection</w:t>
            </w:r>
          </w:p>
        </w:tc>
        <w:tc>
          <w:tcPr/>
          <w:p>
            <w:pPr>
              <w:pStyle w:val="Compact"/>
              <w:jc w:val="left"/>
            </w:pPr>
            <w:r>
              <w:t xml:space="preserve">risk assessment is silly</w:t>
            </w:r>
          </w:p>
        </w:tc>
        <w:tc>
          <w:tcPr/>
          <w:p>
            <w:pPr>
              <w:pStyle w:val="Compact"/>
              <w:jc w:val="left"/>
            </w:pPr>
            <w:r>
              <w:t xml:space="preserve">The site must still pass inspection</w:t>
            </w:r>
          </w:p>
        </w:tc>
      </w:tr>
      <w:tr>
        <w:tc>
          <w:tcPr/>
          <w:p>
            <w:pPr>
              <w:pStyle w:val="Compact"/>
              <w:jc w:val="left"/>
            </w:pPr>
            <w:r>
              <w:t xml:space="preserve">medical cannabis stigma</w:t>
            </w:r>
          </w:p>
        </w:tc>
        <w:tc>
          <w:tcPr/>
          <w:p>
            <w:pPr>
              <w:pStyle w:val="Compact"/>
              <w:jc w:val="left"/>
            </w:pPr>
            <w:r>
              <w:t xml:space="preserve">cannabis near children</w:t>
            </w:r>
          </w:p>
        </w:tc>
        <w:tc>
          <w:tcPr/>
          <w:p>
            <w:pPr>
              <w:pStyle w:val="Compact"/>
              <w:jc w:val="left"/>
            </w:pPr>
            <w:r>
              <w:t xml:space="preserve">The medicine is not part of the use case</w:t>
            </w:r>
          </w:p>
        </w:tc>
      </w:tr>
      <w:tr>
        <w:tc>
          <w:tcPr/>
          <w:p>
            <w:pPr>
              <w:pStyle w:val="Compact"/>
              <w:jc w:val="left"/>
            </w:pPr>
            <w:r>
              <w:t xml:space="preserve">low-contact civic route</w:t>
            </w:r>
          </w:p>
        </w:tc>
        <w:tc>
          <w:tcPr/>
          <w:p>
            <w:pPr>
              <w:pStyle w:val="Compact"/>
              <w:jc w:val="left"/>
            </w:pPr>
            <w:r>
              <w:t xml:space="preserve">informal private school site</w:t>
            </w:r>
          </w:p>
        </w:tc>
        <w:tc>
          <w:tcPr/>
          <w:p>
            <w:pPr>
              <w:pStyle w:val="Compact"/>
              <w:jc w:val="left"/>
            </w:pPr>
            <w:r>
              <w:t xml:space="preserve">The route requires written custody and time limits</w:t>
            </w:r>
          </w:p>
        </w:tc>
      </w:tr>
      <w:tr>
        <w:tc>
          <w:tcPr/>
          <w:p>
            <w:pPr>
              <w:pStyle w:val="Compact"/>
              <w:jc w:val="left"/>
            </w:pPr>
            <w:r>
              <w:t xml:space="preserve">cost shadow</w:t>
            </w:r>
          </w:p>
        </w:tc>
        <w:tc>
          <w:tcPr/>
          <w:p>
            <w:pPr>
              <w:pStyle w:val="Compact"/>
              <w:jc w:val="left"/>
            </w:pPr>
            <w:r>
              <w:t xml:space="preserve">exact bill claim</w:t>
            </w:r>
          </w:p>
        </w:tc>
        <w:tc>
          <w:tcPr/>
          <w:p>
            <w:pPr>
              <w:pStyle w:val="Compact"/>
              <w:jc w:val="left"/>
            </w:pPr>
            <w:r>
              <w:t xml:space="preserve">Costs are scale markers, not forecast bills</w:t>
            </w:r>
          </w:p>
        </w:tc>
      </w:tr>
      <w:tr>
        <w:tc>
          <w:tcPr/>
          <w:p>
            <w:pPr>
              <w:pStyle w:val="Compact"/>
              <w:jc w:val="left"/>
            </w:pPr>
            <w:r>
              <w:t xml:space="preserve">foreign-person medicines</w:t>
            </w:r>
          </w:p>
        </w:tc>
        <w:tc>
          <w:tcPr/>
          <w:p>
            <w:pPr>
              <w:pStyle w:val="Compact"/>
              <w:jc w:val="left"/>
            </w:pPr>
            <w:r>
              <w:t xml:space="preserve">legal advice or drug promotion</w:t>
            </w:r>
          </w:p>
        </w:tc>
        <w:tc>
          <w:tcPr/>
          <w:p>
            <w:pPr>
              <w:pStyle w:val="Compact"/>
              <w:jc w:val="left"/>
            </w:pPr>
            <w:r>
              <w:t xml:space="preserve">The paper discusses civic stigma, not drug use advice</w:t>
            </w:r>
          </w:p>
        </w:tc>
      </w:tr>
    </w:tbl>
    <w:p>
      <w:pPr>
        <w:pStyle w:val="BodyText"/>
      </w:pPr>
      <w:r>
        <w:t xml:space="preserve">The fence sentence is simple:</w:t>
      </w:r>
    </w:p>
    <w:p>
      <w:pPr>
        <w:pStyle w:val="SourceCode"/>
      </w:pPr>
      <w:r>
        <w:rPr>
          <w:rStyle w:val="VerbatimChar"/>
        </w:rPr>
        <w:t xml:space="preserve">This is not “patients should run childcare.”</w:t>
      </w:r>
      <w:r>
        <w:br/>
      </w:r>
      <w:r>
        <w:rPr>
          <w:rStyle w:val="VerbatimChar"/>
        </w:rPr>
        <w:t xml:space="preserve">This is “do not discard the shade before assessing the shade.”</w:t>
      </w:r>
    </w:p>
    <w:bookmarkEnd w:id="37"/>
    <w:bookmarkStart w:id="38" w:name="research-questions"/>
    <w:p>
      <w:pPr>
        <w:pStyle w:val="Heading2"/>
      </w:pPr>
      <w:r>
        <w:t xml:space="preserve">14. Research questions</w:t>
      </w:r>
    </w:p>
    <w:p>
      <w:pPr>
        <w:pStyle w:val="Compact"/>
        <w:numPr>
          <w:ilvl w:val="0"/>
          <w:numId w:val="1001"/>
        </w:numPr>
      </w:pPr>
      <w:r>
        <w:t xml:space="preserve">How many people with medical cannabis prescriptions are at home during standard school hours compared with the general adult population?</w:t>
      </w:r>
    </w:p>
    <w:p>
      <w:pPr>
        <w:pStyle w:val="Compact"/>
        <w:numPr>
          <w:ilvl w:val="0"/>
          <w:numId w:val="1001"/>
        </w:numPr>
      </w:pPr>
      <w:r>
        <w:t xml:space="preserve">What kinds of low-contact civic assets do they hold: gardens, rooms, storage, land, tools, shade, cooling capacity, transport, local knowledge, or key access?</w:t>
      </w:r>
    </w:p>
    <w:p>
      <w:pPr>
        <w:pStyle w:val="Compact"/>
        <w:numPr>
          <w:ilvl w:val="0"/>
          <w:numId w:val="1001"/>
        </w:numPr>
      </w:pPr>
      <w:r>
        <w:t xml:space="preserve">How often do legal medical cannabis users avoid offering civic help because they expect stigma, police misunderstanding, safeguarding suspicion, or administrative refusal?</w:t>
      </w:r>
    </w:p>
    <w:p>
      <w:pPr>
        <w:pStyle w:val="Compact"/>
        <w:numPr>
          <w:ilvl w:val="0"/>
          <w:numId w:val="1001"/>
        </w:numPr>
      </w:pPr>
      <w:r>
        <w:t xml:space="preserve">How do councils, schools, and community groups handle offers of non-contact assets from people with controlled-drug prescriptions?</w:t>
      </w:r>
    </w:p>
    <w:p>
      <w:pPr>
        <w:pStyle w:val="Compact"/>
        <w:numPr>
          <w:ilvl w:val="0"/>
          <w:numId w:val="1001"/>
        </w:numPr>
      </w:pPr>
      <w:r>
        <w:t xml:space="preserve">What risk-assessment language separates the asset from the landholder, and the medicine from the use case?</w:t>
      </w:r>
    </w:p>
    <w:p>
      <w:pPr>
        <w:pStyle w:val="Compact"/>
        <w:numPr>
          <w:ilvl w:val="0"/>
          <w:numId w:val="1001"/>
        </w:numPr>
      </w:pPr>
      <w:r>
        <w:t xml:space="preserve">What is the childcare-cost shadow of heatwave closures by city, school phase, and income group?</w:t>
      </w:r>
    </w:p>
    <w:p>
      <w:pPr>
        <w:pStyle w:val="Compact"/>
        <w:numPr>
          <w:ilvl w:val="0"/>
          <w:numId w:val="1001"/>
        </w:numPr>
      </w:pPr>
      <w:r>
        <w:t xml:space="preserve">Could councils create an emergency micro-site register for shaded land, cool rooms, halls, and community spaces without turning patients into volunteers or risk objects?</w:t>
      </w:r>
    </w:p>
    <w:bookmarkEnd w:id="38"/>
    <w:bookmarkStart w:id="39" w:name="the-poplar-rule"/>
    <w:p>
      <w:pPr>
        <w:pStyle w:val="Heading2"/>
      </w:pPr>
      <w:r>
        <w:t xml:space="preserve">15. The poplar rule</w:t>
      </w:r>
    </w:p>
    <w:p>
      <w:pPr>
        <w:pStyle w:val="FirstParagraph"/>
      </w:pPr>
      <w:r>
        <w:t xml:space="preserve">The generic nice-lady case can be compressed into one rule:</w:t>
      </w:r>
    </w:p>
    <w:p>
      <w:pPr>
        <w:pStyle w:val="BlockText"/>
      </w:pPr>
      <w:r>
        <w:t xml:space="preserve">The blocked resource is not the person. It is the tree.</w:t>
      </w:r>
    </w:p>
    <w:p>
      <w:pPr>
        <w:pStyle w:val="FirstParagraph"/>
      </w:pPr>
      <w:r>
        <w:t xml:space="preserve">That rule scales. The blocked resource may be a room, hall, garden, tool, gate, shed, allotment tap, shaded wall, spare fridge, workshop, bench, bench-shelter, or empty daytime space. Drug policy usually counts seizures, arrests, prescriptions, markets, treatment slots, deaths, hospital admissions, and police cost. It rarely counts civic affordances that never happen.</w:t>
      </w:r>
    </w:p>
    <w:p>
      <w:pPr>
        <w:pStyle w:val="BodyText"/>
      </w:pPr>
      <w:r>
        <w:t xml:space="preserve">The unused tree is the kind of loss that vanishes because it never becomes an event. No meeting is cancelled because it was never scheduled. No bill is submitted because the free offer was never voiced. No child is marked absent from the shaded class because the shaded class never existed. This is why opportunity cost matters: some losses appear only as a world that failed to become available.</w:t>
      </w:r>
    </w:p>
    <w:bookmarkEnd w:id="39"/>
    <w:bookmarkStart w:id="40" w:name="conclusion"/>
    <w:p>
      <w:pPr>
        <w:pStyle w:val="Heading2"/>
      </w:pPr>
      <w:r>
        <w:t xml:space="preserve">16. Conclusion</w:t>
      </w:r>
    </w:p>
    <w:p>
      <w:pPr>
        <w:pStyle w:val="FirstParagraph"/>
      </w:pPr>
      <w:r>
        <w:t xml:space="preserve">Heatwaves expose the weakness of formal infrastructure. Drug-war stigma exposes the weakness of civic imagination. Between them sits a small, ordinary loss: the unused tree.</w:t>
      </w:r>
    </w:p>
    <w:p>
      <w:pPr>
        <w:pStyle w:val="BodyText"/>
      </w:pPr>
      <w:r>
        <w:t xml:space="preserve">A lawful medical cannabis patient may have a garden, shade, time, and local presence. The patient may not want contact, attention, payment, or a role. The useful object may be only the asset. Yet stigma can make the whole offer difficult before the actual risk is weighed.</w:t>
      </w:r>
    </w:p>
    <w:p>
      <w:pPr>
        <w:pStyle w:val="BodyText"/>
      </w:pPr>
      <w:r>
        <w:t xml:space="preserve">A society serious about heat adaptation should know how to use nearby shade without turning the landholder into a moral drama. A society serious about medical cannabis should know that a prescription does not make a person or their assets civic poison. A society serious about cost should count the childcare bill, the lost work day, the lost learning hour, the overheated classroom, and the local solution that never got spoken into use.</w:t>
      </w:r>
    </w:p>
    <w:p>
      <w:pPr>
        <w:pStyle w:val="BodyText"/>
      </w:pPr>
      <w:r>
        <w:t xml:space="preserve">The war on foreign-person medicines does not only punish users. It makes neighbourhoods less useful to themselves.</w:t>
      </w:r>
    </w:p>
    <w:bookmarkEnd w:id="40"/>
    <w:bookmarkStart w:id="41" w:name="references"/>
    <w:p>
      <w:pPr>
        <w:pStyle w:val="Heading2"/>
      </w:pPr>
      <w:r>
        <w:t xml:space="preserve">References</w:t>
      </w:r>
    </w:p>
    <w:p>
      <w:pPr>
        <w:pStyle w:val="FirstParagraph"/>
      </w:pPr>
      <w:r>
        <w:t xml:space="preserve">[1] Richard Adams,</w:t>
      </w:r>
      <w:r>
        <w:t xml:space="preserve"> </w:t>
      </w:r>
      <w:r>
        <w:t xml:space="preserve">“</w:t>
      </w:r>
      <w:r>
        <w:t xml:space="preserve">Hundreds of schools in England and Wales to close in heatwave</w:t>
      </w:r>
      <w:r>
        <w:t xml:space="preserve">”</w:t>
      </w:r>
      <w:r>
        <w:t xml:space="preserve">, The Guardian, 23 June 2026. Reports school closures/shortened days in England and Wales, with DfE saying schools should normally remain open where hot weather can be managed safely.</w:t>
      </w:r>
    </w:p>
    <w:p>
      <w:pPr>
        <w:pStyle w:val="BodyText"/>
      </w:pPr>
      <w:r>
        <w:t xml:space="preserve">[2] Health and Safety Executive,</w:t>
      </w:r>
      <w:r>
        <w:t xml:space="preserve"> </w:t>
      </w:r>
      <w:r>
        <w:t xml:space="preserve">“</w:t>
      </w:r>
      <w:r>
        <w:t xml:space="preserve">Temperature in the workplace: What the law says</w:t>
      </w:r>
      <w:r>
        <w:t xml:space="preserve">”</w:t>
      </w:r>
      <w:r>
        <w:t xml:space="preserve">. States there is no maximum workplace temperature, but heat is a hazard and risks must be controlled.</w:t>
      </w:r>
    </w:p>
    <w:p>
      <w:pPr>
        <w:pStyle w:val="BodyText"/>
      </w:pPr>
      <w:r>
        <w:t xml:space="preserve">[3] Coram Family and Childcare, Holiday Childcare Survey 2025. Reports average holiday club cost of GBP 179.33 per week in Great Britain and regional weekly costs used in this paper.</w:t>
      </w:r>
    </w:p>
    <w:p>
      <w:pPr>
        <w:pStyle w:val="BodyText"/>
      </w:pPr>
      <w:r>
        <w:t xml:space="preserve">[4] UK Government, Home Office announcement,</w:t>
      </w:r>
      <w:r>
        <w:t xml:space="preserve"> </w:t>
      </w:r>
      <w:r>
        <w:t xml:space="preserve">“</w:t>
      </w:r>
      <w:r>
        <w:t xml:space="preserve">Government announces that medicinal cannabis is legal</w:t>
      </w:r>
      <w:r>
        <w:t xml:space="preserve">”</w:t>
      </w:r>
      <w:r>
        <w:t xml:space="preserve">, 11 October 2018. States specialist doctors could prescribe medicinal cannabis from 1 November 2018.</w:t>
      </w:r>
    </w:p>
    <w:p>
      <w:pPr>
        <w:pStyle w:val="BodyText"/>
      </w:pPr>
      <w:r>
        <w:t xml:space="preserve">[5] NHS,</w:t>
      </w:r>
      <w:r>
        <w:t xml:space="preserve"> </w:t>
      </w:r>
      <w:r>
        <w:t xml:space="preserve">“</w:t>
      </w:r>
      <w:r>
        <w:t xml:space="preserve">Medical cannabis (cannabis oil)</w:t>
      </w:r>
      <w:r>
        <w:t xml:space="preserve">”</w:t>
      </w:r>
      <w:r>
        <w:t xml:space="preserve">. States NHS prescriptions are specialist-led and likely only for a small number of patients.</w:t>
      </w:r>
    </w:p>
    <w:p>
      <w:pPr>
        <w:pStyle w:val="BodyText"/>
      </w:pPr>
      <w:r>
        <w:t xml:space="preserve">[6] House of Commons Library,</w:t>
      </w:r>
      <w:r>
        <w:t xml:space="preserve"> </w:t>
      </w:r>
      <w:r>
        <w:t xml:space="preserve">“</w:t>
      </w:r>
      <w:r>
        <w:t xml:space="preserve">Medical use of cannabis</w:t>
      </w:r>
      <w:r>
        <w:t xml:space="preserve">”</w:t>
      </w:r>
      <w:r>
        <w:t xml:space="preserve">, 29 January 2025. Summarises UK cannabis law, medical routes, and access barriers.</w:t>
      </w:r>
    </w:p>
    <w:bookmarkEnd w:id="41"/>
    <w:bookmarkStart w:id="42" w:name="calculation-note"/>
    <w:p>
      <w:pPr>
        <w:pStyle w:val="Heading2"/>
      </w:pPr>
      <w:r>
        <w:t xml:space="preserve">Calculation note</w:t>
      </w:r>
    </w:p>
    <w:p>
      <w:pPr>
        <w:pStyle w:val="FirstParagraph"/>
      </w:pPr>
      <w:r>
        <w:t xml:space="preserve">The one-day childcare proxy divides Coram weekly regional costs by five. The class and pupil figures multiply the one-day holiday-club proxy by 30, 1,000, and 10,000 pupils. These are not forecast bills. They are scale markers for the parent-facing childcare shadow of one lost school day.</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2026-06-24T21:55:42Z</dcterms:created>
  <dcterms:modified xsi:type="dcterms:W3CDTF">2026-06-24T21:55:42Z</dcterms:modified>
</cp:coreProperties>
</file>

<file path=docProps/custom.xml><?xml version="1.0" encoding="utf-8"?>
<Properties xmlns="http://schemas.openxmlformats.org/officeDocument/2006/custom-properties" xmlns:vt="http://schemas.openxmlformats.org/officeDocument/2006/docPropsVTypes"/>
</file>