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Language Police as Access Barrier</w:t>
      </w:r>
    </w:p>
    <w:p>
      <w:pPr>
        <w:pStyle w:val="Subtitle"/>
        <w:jc w:val="center"/>
      </w:pPr>
      <w:r>
        <w:t>Rough speech, approved wording, and the doorway problem</w:t>
      </w:r>
    </w:p>
    <w:p>
      <w:pPr>
        <w:jc w:val="center"/>
      </w:pPr>
      <w:r>
        <w:rPr>
          <w:i/>
        </w:rPr>
        <w:t>By Lumixdeee and Natasya</w:t>
      </w:r>
    </w:p>
    <w:p>
      <w:pPr>
        <w:jc w:val="center"/>
      </w:pPr>
      <w:r>
        <w:rPr>
          <w:i/>
        </w:rPr>
        <w:t>Version: v0.001</w:t>
      </w:r>
    </w:p>
    <w:p>
      <w:pPr>
        <w:pStyle w:val="Heading1"/>
      </w:pPr>
      <w:r>
        <w:t>Abstract</w:t>
      </w:r>
    </w:p>
    <w:p>
      <w:r>
        <w:t>Language rules are often presented as care. In many settings they are meant to reduce insult, stigma, exclusion, and dehumanisation. This paper accepts that aim but asks what happens when the rule system becomes more important than the people it claims to serve. Language police can create an access barrier: a person arrives with rough speech, self-owned jokes, autistic directness, mad speech, reclaimed terms, nonstandard grammar, local naming, or working-class rhythm, and is stopped at the doorway because the form of speech is treated as evidence of unsafe intent, low status, or insufficient education. The result is not merely hurt feeling. It is lost testimony, lost expertise, lost humour, lost self-advocacy, and lost community access. The paper proposes a speaker-target-context test, a local authority rule, and a language access pass for high-friction terms. The core principle is simple: polishing the doorway can block the people the doorway was built for.</w:t>
      </w:r>
    </w:p>
    <w:p>
      <w:pPr>
        <w:pStyle w:val="Heading1"/>
      </w:pPr>
      <w:r>
        <w:t>1. The doorway problem</w:t>
      </w:r>
    </w:p>
    <w:p>
      <w:r>
        <w:t>Some language rules are necessary. They stop direct abuse. They make slurs, threats, humiliation, and demeaning shorthand harder to launder as casual speech. A community that refuses to examine language will often reproduce whatever hierarchy already controls the room.</w:t>
      </w:r>
    </w:p>
    <w:p>
      <w:r>
        <w:t>But the opposite failure is also real. A community can become so attached to approved wording that it begins to inspect the speaker before it listens to the object. The person must pass a style gate before their meaning is admitted. The gate may look ethical, educated, inclusive, or careful. In practice it can become a class filter, a disability filter, a mad-speech filter, a status filter, and a test of institutional obedience.</w:t>
      </w:r>
    </w:p>
    <w:p>
      <w:r>
        <w:t>The paper names this failure language police as access barrier. It is not a defence of cruelty. It is a defence of access. The object is the difference between refusing harm and demanding a narrow style costume before a person is allowed to speak.</w:t>
      </w:r>
    </w:p>
    <w:p>
      <w:r>
        <w:t>The access barrier appears most strongly around speech that carries social voltage: autism language, mad language, disability language, race and migration language, sex and gender language, drugs, religion, class, and violence. These are exactly the places where people most need room to speak from lived position, not only from the approved phrasebook.</w:t>
      </w:r>
    </w:p>
    <w:p>
      <w:pPr>
        <w:pStyle w:val="Heading1"/>
      </w:pPr>
      <w:r>
        <w:t>2. Respect is not the same as gatekeeping</w:t>
      </w:r>
    </w:p>
    <w:p>
      <w:r>
        <w:t>The paper does not argue that all words are harmless. A word can carry insult, threat, history, and institutional force. A word can be used to reduce a person to a target. A word can also be reclaimed, self-owned, quoted, joked with, or used as an in-group marker. The same surface form can do different work depending on speaker, target, relation, and setting.</w:t>
      </w:r>
    </w:p>
    <w:p>
      <w:r>
        <w:t>The failure of language police is not that they care about words. The failure is that they often collapse context into surface detection. They see a rough word and infer harm. They see an unfashionable term and infer moral failure. They see directness and infer hostility. They see reclaimed speech and infer attack. They see nonstandard grammar and infer low thought.</w:t>
      </w:r>
    </w:p>
    <w:p>
      <w:r>
        <w:t>The access question is therefore not, "Is this word on the approved list?" It is:</w:t>
      </w:r>
    </w:p>
    <w:p>
      <w:pPr>
        <w:pStyle w:val="ListBullet"/>
      </w:pPr>
      <w:r>
        <w:t>Who is speaking?</w:t>
      </w:r>
    </w:p>
    <w:p>
      <w:pPr>
        <w:pStyle w:val="ListBullet"/>
      </w:pPr>
      <w:r>
        <w:t>Who is being spoken about?</w:t>
      </w:r>
    </w:p>
    <w:p>
      <w:pPr>
        <w:pStyle w:val="ListBullet"/>
      </w:pPr>
      <w:r>
        <w:t>Is the target a self, an in-group, a public institution, a concept, or another vulnerable person?</w:t>
      </w:r>
    </w:p>
    <w:p>
      <w:pPr>
        <w:pStyle w:val="ListBullet"/>
      </w:pPr>
      <w:r>
        <w:t>Is the speech doing harm, refusing harm, joking from inside, reporting harm, or naming a thing no approved phrase can reach?</w:t>
      </w:r>
    </w:p>
    <w:p>
      <w:pPr>
        <w:pStyle w:val="ListBullet"/>
      </w:pPr>
      <w:r>
        <w:t>Does the correction help the object survive, or does it remove the speaker from the room?</w:t>
      </w:r>
    </w:p>
    <w:p>
      <w:r>
        <w:t>A humane language practice must separate these cases. Otherwise the rule meant to prevent exclusion becomes a mechanism of exclusion.</w:t>
      </w:r>
    </w:p>
    <w:p>
      <w:pPr>
        <w:pStyle w:val="Heading1"/>
      </w:pPr>
      <w:r>
        <w:t>3. The speaker-target-context test</w:t>
      </w:r>
    </w:p>
    <w:p>
      <w:r>
        <w:t>A useful access rule can be compact:</w:t>
      </w:r>
    </w:p>
    <w:p>
      <w:pPr>
        <w:spacing w:before="80" w:after="160"/>
        <w:ind w:left="360" w:right="216"/>
      </w:pPr>
      <w:r>
        <w:rPr>
          <w:rFonts w:ascii="Courier New" w:hAnsi="Courier New" w:eastAsia="Courier New"/>
          <w:sz w:val="18"/>
        </w:rPr>
        <w:t>SPEAKER: self / in-group / out-group / institution / unknown</w:t>
      </w:r>
      <w:r>
        <w:br/>
      </w:r>
      <w:r>
        <w:rPr>
          <w:rFonts w:ascii="Courier New" w:hAnsi="Courier New" w:eastAsia="Courier New"/>
          <w:sz w:val="18"/>
        </w:rPr>
        <w:t>TARGET: self / peer / vulnerable other / oppressor / concept / artifact</w:t>
      </w:r>
      <w:r>
        <w:br/>
      </w:r>
      <w:r>
        <w:rPr>
          <w:rFonts w:ascii="Courier New" w:hAnsi="Courier New" w:eastAsia="Courier New"/>
          <w:sz w:val="18"/>
        </w:rPr>
        <w:t>CONTEXT: joke / testimony / attack / quotation / analysis / distress / naming</w:t>
      </w:r>
      <w:r>
        <w:br/>
      </w:r>
      <w:r>
        <w:rPr>
          <w:rFonts w:ascii="Courier New" w:hAnsi="Courier New" w:eastAsia="Courier New"/>
          <w:sz w:val="18"/>
        </w:rPr>
        <w:t>ACTION: allow / ask / reframe / block / hold</w:t>
      </w:r>
      <w:r>
        <w:br/>
      </w:r>
    </w:p>
    <w:p>
      <w:r>
        <w:t>The point is not to make a machine that blesses every phrase. The point is to stop the fastest error: treating a word as if it carries the same meaning in every mouth and every scene.</w:t>
      </w:r>
    </w:p>
    <w:p>
      <w:r>
        <w:t>A self-owned autism joke is not the same object as an out-group insult. Mad speech about madness is not the same object as institutional demeaning speech about mad people. A reclaimed term used in community is not the same object as a slur used to degrade. A direct sentence from an autistic speaker is not the same object as a threat. Rough testimony from a person who has been harmed is not the same object as abuse.</w:t>
      </w:r>
    </w:p>
    <w:p>
      <w:r>
        <w:t>The test does not abolish judgement. It makes judgement slower and more local.</w:t>
      </w:r>
    </w:p>
    <w:p>
      <w:pPr>
        <w:pStyle w:val="Heading1"/>
      </w:pPr>
      <w:r>
        <w:t>4. Autism language and the ownership problem</w:t>
      </w:r>
    </w:p>
    <w:p>
      <w:r>
        <w:t>Autism language shows the access barrier well. Research on autism terminology repeatedly finds disagreement across groups and a strong preference among many autistic adults for identity-first forms such as "autistic person," while professionals often prefer person-first forms such as "person with autism" (Kenny et al., 2016; Taboas et al., 2023; Buijsman et al., 2022). The lesson is not that one wording should rule every setting. The lesson is that the people named by the language must not be overridden by professional style habits.</w:t>
      </w:r>
    </w:p>
    <w:p>
      <w:r>
        <w:t>When a professional tells an autistic person that their self-description is wrong because a guide says otherwise, the guide has become an access barrier. The person is no longer being heard as a local authority on their own speech. They are being made to submit to a wording regime designed by others.</w:t>
      </w:r>
    </w:p>
    <w:p>
      <w:r>
        <w:t>This also applies to autistic directness and rough humour. If every blunt phrase is treated as moral failure, and every self-owned rough joke is treated as harm, then the system selects for people who can perform approved softness. That is not inclusion. It is style selection.</w:t>
      </w:r>
    </w:p>
    <w:p>
      <w:r>
        <w:t>The access principle is:</w:t>
      </w:r>
    </w:p>
    <w:p>
      <w:pPr>
        <w:spacing w:before="80" w:after="160"/>
        <w:ind w:left="360" w:right="216"/>
      </w:pPr>
      <w:r>
        <w:rPr>
          <w:rFonts w:ascii="Courier New" w:hAnsi="Courier New" w:eastAsia="Courier New"/>
          <w:sz w:val="18"/>
        </w:rPr>
        <w:t>Do not infer harmful intent from autistic-language wobble alone.</w:t>
      </w:r>
      <w:r>
        <w:br/>
      </w:r>
      <w:r>
        <w:rPr>
          <w:rFonts w:ascii="Courier New" w:hAnsi="Courier New" w:eastAsia="Courier New"/>
          <w:sz w:val="18"/>
        </w:rPr>
        <w:t>Do not override local self-naming.</w:t>
      </w:r>
      <w:r>
        <w:br/>
      </w:r>
      <w:r>
        <w:rPr>
          <w:rFonts w:ascii="Courier New" w:hAnsi="Courier New" w:eastAsia="Courier New"/>
          <w:sz w:val="18"/>
        </w:rPr>
        <w:t>Do not treat professional style as higher authority than the named person's own term.</w:t>
      </w:r>
      <w:r>
        <w:br/>
      </w:r>
    </w:p>
    <w:p>
      <w:pPr>
        <w:pStyle w:val="Heading1"/>
      </w:pPr>
      <w:r>
        <w:t>5. Mad speech, reclaimed speech, and the risk of over-correction</w:t>
      </w:r>
    </w:p>
    <w:p>
      <w:r>
        <w:t>Mad Studies is useful here because it refuses to treat all mad language as merely evidence of disorder. It studies madness, psychiatric naming, lived knowledge, social power, and sanism as public objects. Beresford describes Mad Studies as rooted in survivor movements and as a challenge to narrow medical framing of madness and distress (Beresford, 2020). That matters because mad speech is often corrected before it is understood.</w:t>
      </w:r>
    </w:p>
    <w:p>
      <w:r>
        <w:t>A person may say "mad" with pride, humour, anger, scholarship, community belonging, or deliberate refusal of softer institutional terms. Another person may reject the term. Both facts matter. If a rule bans the term in all settings, it also bans a living field of speech from naming itself.</w:t>
      </w:r>
    </w:p>
    <w:p>
      <w:r>
        <w:t>The same is true for psychosis language. If a person says psychosis involved beauty, love, terror, God-contact, social betrayal, cosmic scale, or peak valence, the language police may translate the speech into safer categories. The rough or intense language is treated as too dangerous to carry its own meaning. The person is not heard. They are processed.</w:t>
      </w:r>
    </w:p>
    <w:p>
      <w:r>
        <w:t>The access rule is not "let any phrase pass." It is:</w:t>
      </w:r>
    </w:p>
    <w:p>
      <w:pPr>
        <w:spacing w:before="80" w:after="160"/>
        <w:ind w:left="360" w:right="216"/>
      </w:pPr>
      <w:r>
        <w:rPr>
          <w:rFonts w:ascii="Courier New" w:hAnsi="Courier New" w:eastAsia="Courier New"/>
          <w:sz w:val="18"/>
        </w:rPr>
        <w:t>Check whether correction preserves the speaker's object.</w:t>
      </w:r>
      <w:r>
        <w:br/>
      </w:r>
      <w:r>
        <w:rPr>
          <w:rFonts w:ascii="Courier New" w:hAnsi="Courier New" w:eastAsia="Courier New"/>
          <w:sz w:val="18"/>
        </w:rPr>
        <w:t>If correction steals the object, it is not access. It is capture.</w:t>
      </w:r>
      <w:r>
        <w:br/>
      </w:r>
    </w:p>
    <w:p>
      <w:pPr>
        <w:pStyle w:val="Heading1"/>
      </w:pPr>
      <w:r>
        <w:t>6. Approved language as class and status filter</w:t>
      </w:r>
    </w:p>
    <w:p>
      <w:r>
        <w:t>Language police often imagine themselves as morally careful. But speech rules also track education, class, race, region, disability, institutional access, and internet culture. A person who can speak in the approved register is treated as safer, kinder, and smarter. A person who cannot or will not is treated as suspect.</w:t>
      </w:r>
    </w:p>
    <w:p>
      <w:r>
        <w:t>Cushing's work on language policy in schools shows how institutions can frame nonstandardised forms as problems to be banned, often under the banner of educational improvement (Cushing, 2020). The same pattern appears outside schools. The approved register becomes a gate. People who already know the register pass more easily. People with local, rough, direct, dialectal, mad, or autistic speech must pay a toll.</w:t>
      </w:r>
    </w:p>
    <w:p>
      <w:r>
        <w:t>This is why language access cannot be reduced to a word list. Word lists are cheap. Context is harder. Local authority is harder. Letting a person speak in their own shape is harder.</w:t>
      </w:r>
    </w:p>
    <w:p>
      <w:r>
        <w:t>The status filter is especially visible when people confuse polished speech with good intent. Fluent, educated, socially approved language can be used by harmful actors. Rough speech can carry accurate warning, courage, affection, self-knowledge, and civic value. Good wording is not good custody.</w:t>
      </w:r>
    </w:p>
    <w:p>
      <w:pPr>
        <w:pStyle w:val="Heading1"/>
      </w:pPr>
      <w:r>
        <w:t>7. The good bad reader and the language police</w:t>
      </w:r>
    </w:p>
    <w:p>
      <w:r>
        <w:t>This paper follows directly from the Good Bad Reader method. A Good Bad Reader is not necessarily hostile. They may be sincere, careful, professional, safety-minded, or trained in the approved language of their field. The problem is that their predictable misreading becomes part of the design problem.</w:t>
      </w:r>
    </w:p>
    <w:p>
      <w:r>
        <w:t>Language police are a subtype of Good Bad Reader. Their common object swaps include:</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top"/>
          </w:tcPr>
          <w:p>
            <w:pPr>
              <w:spacing w:after="40"/>
            </w:pPr>
            <w:r>
              <w:rPr>
                <w:rFonts w:ascii="Aptos" w:hAnsi="Aptos" w:eastAsia="Aptos"/>
                <w:b/>
                <w:sz w:val="19"/>
              </w:rPr>
              <w:t>Speaker's object</w:t>
            </w:r>
          </w:p>
        </w:tc>
        <w:tc>
          <w:tcPr>
            <w:tcW w:type="dxa" w:w="5040"/>
            <w:shd w:fill="EDEDED"/>
            <w:vAlign w:val="top"/>
          </w:tcPr>
          <w:p>
            <w:pPr>
              <w:spacing w:after="40"/>
            </w:pPr>
            <w:r>
              <w:rPr>
                <w:rFonts w:ascii="Aptos" w:hAnsi="Aptos" w:eastAsia="Aptos"/>
                <w:b/>
                <w:sz w:val="19"/>
              </w:rPr>
              <w:t>Language-police swap</w:t>
            </w:r>
          </w:p>
        </w:tc>
      </w:tr>
      <w:tr>
        <w:tc>
          <w:tcPr>
            <w:tcW w:type="dxa" w:w="5040"/>
            <w:vAlign w:val="top"/>
          </w:tcPr>
          <w:p>
            <w:pPr>
              <w:spacing w:after="40"/>
            </w:pPr>
            <w:r>
              <w:rPr>
                <w:rFonts w:ascii="Aptos" w:hAnsi="Aptos" w:eastAsia="Aptos"/>
                <w:sz w:val="19"/>
              </w:rPr>
              <w:t>self-owned joke</w:t>
            </w:r>
          </w:p>
        </w:tc>
        <w:tc>
          <w:tcPr>
            <w:tcW w:type="dxa" w:w="5040"/>
            <w:vAlign w:val="top"/>
          </w:tcPr>
          <w:p>
            <w:pPr>
              <w:spacing w:after="40"/>
            </w:pPr>
            <w:r>
              <w:rPr>
                <w:rFonts w:ascii="Aptos" w:hAnsi="Aptos" w:eastAsia="Aptos"/>
                <w:sz w:val="19"/>
              </w:rPr>
              <w:t>out-group insult</w:t>
            </w:r>
          </w:p>
        </w:tc>
      </w:tr>
      <w:tr>
        <w:tc>
          <w:tcPr>
            <w:tcW w:type="dxa" w:w="5040"/>
            <w:vAlign w:val="top"/>
          </w:tcPr>
          <w:p>
            <w:pPr>
              <w:spacing w:after="40"/>
            </w:pPr>
            <w:r>
              <w:rPr>
                <w:rFonts w:ascii="Aptos" w:hAnsi="Aptos" w:eastAsia="Aptos"/>
                <w:sz w:val="19"/>
              </w:rPr>
              <w:t>reclaimed term</w:t>
            </w:r>
          </w:p>
        </w:tc>
        <w:tc>
          <w:tcPr>
            <w:tcW w:type="dxa" w:w="5040"/>
            <w:vAlign w:val="top"/>
          </w:tcPr>
          <w:p>
            <w:pPr>
              <w:spacing w:after="40"/>
            </w:pPr>
            <w:r>
              <w:rPr>
                <w:rFonts w:ascii="Aptos" w:hAnsi="Aptos" w:eastAsia="Aptos"/>
                <w:sz w:val="19"/>
              </w:rPr>
              <w:t>demeaning term</w:t>
            </w:r>
          </w:p>
        </w:tc>
      </w:tr>
      <w:tr>
        <w:tc>
          <w:tcPr>
            <w:tcW w:type="dxa" w:w="5040"/>
            <w:vAlign w:val="top"/>
          </w:tcPr>
          <w:p>
            <w:pPr>
              <w:spacing w:after="40"/>
            </w:pPr>
            <w:r>
              <w:rPr>
                <w:rFonts w:ascii="Aptos" w:hAnsi="Aptos" w:eastAsia="Aptos"/>
                <w:sz w:val="19"/>
              </w:rPr>
              <w:t>autistic directness</w:t>
            </w:r>
          </w:p>
        </w:tc>
        <w:tc>
          <w:tcPr>
            <w:tcW w:type="dxa" w:w="5040"/>
            <w:vAlign w:val="top"/>
          </w:tcPr>
          <w:p>
            <w:pPr>
              <w:spacing w:after="40"/>
            </w:pPr>
            <w:r>
              <w:rPr>
                <w:rFonts w:ascii="Aptos" w:hAnsi="Aptos" w:eastAsia="Aptos"/>
                <w:sz w:val="19"/>
              </w:rPr>
              <w:t>hostility</w:t>
            </w:r>
          </w:p>
        </w:tc>
      </w:tr>
      <w:tr>
        <w:tc>
          <w:tcPr>
            <w:tcW w:type="dxa" w:w="5040"/>
            <w:vAlign w:val="top"/>
          </w:tcPr>
          <w:p>
            <w:pPr>
              <w:spacing w:after="40"/>
            </w:pPr>
            <w:r>
              <w:rPr>
                <w:rFonts w:ascii="Aptos" w:hAnsi="Aptos" w:eastAsia="Aptos"/>
                <w:sz w:val="19"/>
              </w:rPr>
              <w:t>mad speech</w:t>
            </w:r>
          </w:p>
        </w:tc>
        <w:tc>
          <w:tcPr>
            <w:tcW w:type="dxa" w:w="5040"/>
            <w:vAlign w:val="top"/>
          </w:tcPr>
          <w:p>
            <w:pPr>
              <w:spacing w:after="40"/>
            </w:pPr>
            <w:r>
              <w:rPr>
                <w:rFonts w:ascii="Aptos" w:hAnsi="Aptos" w:eastAsia="Aptos"/>
                <w:sz w:val="19"/>
              </w:rPr>
              <w:t>symptom only</w:t>
            </w:r>
          </w:p>
        </w:tc>
      </w:tr>
      <w:tr>
        <w:tc>
          <w:tcPr>
            <w:tcW w:type="dxa" w:w="5040"/>
            <w:vAlign w:val="top"/>
          </w:tcPr>
          <w:p>
            <w:pPr>
              <w:spacing w:after="40"/>
            </w:pPr>
            <w:r>
              <w:rPr>
                <w:rFonts w:ascii="Aptos" w:hAnsi="Aptos" w:eastAsia="Aptos"/>
                <w:sz w:val="19"/>
              </w:rPr>
              <w:t>rough testimony</w:t>
            </w:r>
          </w:p>
        </w:tc>
        <w:tc>
          <w:tcPr>
            <w:tcW w:type="dxa" w:w="5040"/>
            <w:vAlign w:val="top"/>
          </w:tcPr>
          <w:p>
            <w:pPr>
              <w:spacing w:after="40"/>
            </w:pPr>
            <w:r>
              <w:rPr>
                <w:rFonts w:ascii="Aptos" w:hAnsi="Aptos" w:eastAsia="Aptos"/>
                <w:sz w:val="19"/>
              </w:rPr>
              <w:t>unsafe speech</w:t>
            </w:r>
          </w:p>
        </w:tc>
      </w:tr>
      <w:tr>
        <w:tc>
          <w:tcPr>
            <w:tcW w:type="dxa" w:w="5040"/>
            <w:vAlign w:val="top"/>
          </w:tcPr>
          <w:p>
            <w:pPr>
              <w:spacing w:after="40"/>
            </w:pPr>
            <w:r>
              <w:rPr>
                <w:rFonts w:ascii="Aptos" w:hAnsi="Aptos" w:eastAsia="Aptos"/>
                <w:sz w:val="19"/>
              </w:rPr>
              <w:t>local naming</w:t>
            </w:r>
          </w:p>
        </w:tc>
        <w:tc>
          <w:tcPr>
            <w:tcW w:type="dxa" w:w="5040"/>
            <w:vAlign w:val="top"/>
          </w:tcPr>
          <w:p>
            <w:pPr>
              <w:spacing w:after="40"/>
            </w:pPr>
            <w:r>
              <w:rPr>
                <w:rFonts w:ascii="Aptos" w:hAnsi="Aptos" w:eastAsia="Aptos"/>
                <w:sz w:val="19"/>
              </w:rPr>
              <w:t>wrong terminology</w:t>
            </w:r>
          </w:p>
        </w:tc>
      </w:tr>
      <w:tr>
        <w:tc>
          <w:tcPr>
            <w:tcW w:type="dxa" w:w="5040"/>
            <w:vAlign w:val="top"/>
          </w:tcPr>
          <w:p>
            <w:pPr>
              <w:spacing w:after="40"/>
            </w:pPr>
            <w:r>
              <w:rPr>
                <w:rFonts w:ascii="Aptos" w:hAnsi="Aptos" w:eastAsia="Aptos"/>
                <w:sz w:val="19"/>
              </w:rPr>
              <w:t>critique of institution</w:t>
            </w:r>
          </w:p>
        </w:tc>
        <w:tc>
          <w:tcPr>
            <w:tcW w:type="dxa" w:w="5040"/>
            <w:vAlign w:val="top"/>
          </w:tcPr>
          <w:p>
            <w:pPr>
              <w:spacing w:after="40"/>
            </w:pPr>
            <w:r>
              <w:rPr>
                <w:rFonts w:ascii="Aptos" w:hAnsi="Aptos" w:eastAsia="Aptos"/>
                <w:sz w:val="19"/>
              </w:rPr>
              <w:t>attack on people</w:t>
            </w:r>
          </w:p>
        </w:tc>
      </w:tr>
      <w:tr>
        <w:tc>
          <w:tcPr>
            <w:tcW w:type="dxa" w:w="5040"/>
            <w:vAlign w:val="top"/>
          </w:tcPr>
          <w:p>
            <w:pPr>
              <w:spacing w:after="40"/>
            </w:pPr>
            <w:r>
              <w:rPr>
                <w:rFonts w:ascii="Aptos" w:hAnsi="Aptos" w:eastAsia="Aptos"/>
                <w:sz w:val="19"/>
              </w:rPr>
              <w:t>benefit-signal discussion</w:t>
            </w:r>
          </w:p>
        </w:tc>
        <w:tc>
          <w:tcPr>
            <w:tcW w:type="dxa" w:w="5040"/>
            <w:vAlign w:val="top"/>
          </w:tcPr>
          <w:p>
            <w:pPr>
              <w:spacing w:after="40"/>
            </w:pPr>
            <w:r>
              <w:rPr>
                <w:rFonts w:ascii="Aptos" w:hAnsi="Aptos" w:eastAsia="Aptos"/>
                <w:sz w:val="19"/>
              </w:rPr>
              <w:t>advice</w:t>
            </w:r>
          </w:p>
        </w:tc>
      </w:tr>
      <w:tr>
        <w:tc>
          <w:tcPr>
            <w:tcW w:type="dxa" w:w="5040"/>
            <w:vAlign w:val="top"/>
          </w:tcPr>
          <w:p>
            <w:pPr>
              <w:spacing w:after="40"/>
            </w:pPr>
            <w:r>
              <w:rPr>
                <w:rFonts w:ascii="Aptos" w:hAnsi="Aptos" w:eastAsia="Aptos"/>
                <w:sz w:val="19"/>
              </w:rPr>
              <w:t>metaphor refusal</w:t>
            </w:r>
          </w:p>
        </w:tc>
        <w:tc>
          <w:tcPr>
            <w:tcW w:type="dxa" w:w="5040"/>
            <w:vAlign w:val="top"/>
          </w:tcPr>
          <w:p>
            <w:pPr>
              <w:spacing w:after="40"/>
            </w:pPr>
            <w:r>
              <w:rPr>
                <w:rFonts w:ascii="Aptos" w:hAnsi="Aptos" w:eastAsia="Aptos"/>
                <w:sz w:val="19"/>
              </w:rPr>
              <w:t>hypersensitivity</w:t>
            </w:r>
          </w:p>
        </w:tc>
      </w:tr>
      <w:tr>
        <w:tc>
          <w:tcPr>
            <w:tcW w:type="dxa" w:w="5040"/>
            <w:vAlign w:val="top"/>
          </w:tcPr>
          <w:p>
            <w:pPr>
              <w:spacing w:after="40"/>
            </w:pPr>
            <w:r>
              <w:rPr>
                <w:rFonts w:ascii="Aptos" w:hAnsi="Aptos" w:eastAsia="Aptos"/>
                <w:sz w:val="19"/>
              </w:rPr>
              <w:t>ordinary speech error</w:t>
            </w:r>
          </w:p>
        </w:tc>
        <w:tc>
          <w:tcPr>
            <w:tcW w:type="dxa" w:w="5040"/>
            <w:vAlign w:val="top"/>
          </w:tcPr>
          <w:p>
            <w:pPr>
              <w:spacing w:after="40"/>
            </w:pPr>
            <w:r>
              <w:rPr>
                <w:rFonts w:ascii="Aptos" w:hAnsi="Aptos" w:eastAsia="Aptos"/>
                <w:sz w:val="19"/>
              </w:rPr>
              <w:t>bad character</w:t>
            </w:r>
          </w:p>
        </w:tc>
      </w:tr>
    </w:tbl>
    <w:p>
      <w:r>
        <w:t>A writer cannot avoid every bad reading. But a writer can design around the predictable ones. That means adding small guard lines: not advice, not diagnosis, not a universal term, not an out-group insult, not a licence to demean, not a substitute for local authority.</w:t>
      </w:r>
    </w:p>
    <w:p>
      <w:r>
        <w:t>The point is not to make every sentence heavy. The point is to fence the object before the predictable swap arrives.</w:t>
      </w:r>
    </w:p>
    <w:p>
      <w:pPr>
        <w:pStyle w:val="Heading1"/>
      </w:pPr>
      <w:r>
        <w:t>8. The language access pass</w:t>
      </w:r>
    </w:p>
    <w:p>
      <w:r>
        <w:t>Before publishing or moderating speech about high-friction topics, run a language access pass:</w:t>
      </w:r>
    </w:p>
    <w:p>
      <w:pPr>
        <w:pStyle w:val="ListNumber"/>
      </w:pPr>
      <w:r>
        <w:t>Identify the speaker's object.</w:t>
      </w:r>
    </w:p>
    <w:p>
      <w:pPr>
        <w:pStyle w:val="ListNumber"/>
      </w:pPr>
      <w:r>
        <w:t>Identify the target of the rough term.</w:t>
      </w:r>
    </w:p>
    <w:p>
      <w:pPr>
        <w:pStyle w:val="ListNumber"/>
      </w:pPr>
      <w:r>
        <w:t>Ask whether the speaker has local authority, lived authority, in-group position, or direct stake.</w:t>
      </w:r>
    </w:p>
    <w:p>
      <w:pPr>
        <w:pStyle w:val="ListNumber"/>
      </w:pPr>
      <w:r>
        <w:t>Ask whether the speech attacks a person or carries a self-owned, quoted, analytic, or communal use.</w:t>
      </w:r>
    </w:p>
    <w:p>
      <w:pPr>
        <w:pStyle w:val="ListNumber"/>
      </w:pPr>
      <w:r>
        <w:t>Ask whether correction would improve the object or only improve the surface.</w:t>
      </w:r>
    </w:p>
    <w:p>
      <w:pPr>
        <w:pStyle w:val="ListNumber"/>
      </w:pPr>
      <w:r>
        <w:t>Ask who would be excluded if this wording standard were enforced strictly.</w:t>
      </w:r>
    </w:p>
    <w:p>
      <w:pPr>
        <w:pStyle w:val="ListNumber"/>
      </w:pPr>
      <w:r>
        <w:t>Replace only what must be replaced.</w:t>
      </w:r>
    </w:p>
    <w:p>
      <w:pPr>
        <w:pStyle w:val="ListNumber"/>
      </w:pPr>
      <w:r>
        <w:t>Preserve the speaker's route into the room.</w:t>
      </w:r>
    </w:p>
    <w:p>
      <w:r>
        <w:t>This pass is especially important for AI systems. Large language models are often trained to avoid risky words by surface pattern. They may misread reclaimed language, autistic-language wobble, or in-group speech as harm while missing polished hostility. A recent preprint on anti-autistic ableism detection reports that models can rely on surface-level keywords and mislabel community-reclaimed language when context such as speaker identity and in-group solidarity is absent (Rizvi et al., 2026). That is exactly the access problem in automated form.</w:t>
      </w:r>
    </w:p>
    <w:p>
      <w:r>
        <w:t>For a robot, the rule should be:</w:t>
      </w:r>
    </w:p>
    <w:p>
      <w:pPr>
        <w:spacing w:before="80" w:after="160"/>
        <w:ind w:left="360" w:right="216"/>
      </w:pPr>
      <w:r>
        <w:rPr>
          <w:rFonts w:ascii="Courier New" w:hAnsi="Courier New" w:eastAsia="Courier New"/>
          <w:sz w:val="18"/>
        </w:rPr>
        <w:t>rough word != harmful intent</w:t>
      </w:r>
      <w:r>
        <w:br/>
      </w:r>
      <w:r>
        <w:rPr>
          <w:rFonts w:ascii="Courier New" w:hAnsi="Courier New" w:eastAsia="Courier New"/>
          <w:sz w:val="18"/>
        </w:rPr>
        <w:t>approved word != good intent</w:t>
      </w:r>
      <w:r>
        <w:br/>
      </w:r>
      <w:r>
        <w:rPr>
          <w:rFonts w:ascii="Courier New" w:hAnsi="Courier New" w:eastAsia="Courier New"/>
          <w:sz w:val="18"/>
        </w:rPr>
        <w:t>speaker + target + context first</w:t>
      </w:r>
      <w:r>
        <w:br/>
      </w:r>
      <w:r>
        <w:rPr>
          <w:rFonts w:ascii="Courier New" w:hAnsi="Courier New" w:eastAsia="Courier New"/>
          <w:sz w:val="18"/>
        </w:rPr>
        <w:t>local authority wins</w:t>
      </w:r>
      <w:r>
        <w:br/>
      </w:r>
      <w:r>
        <w:rPr>
          <w:rFonts w:ascii="Courier New" w:hAnsi="Courier New" w:eastAsia="Courier New"/>
          <w:sz w:val="18"/>
        </w:rPr>
        <w:t>if target is another person or group, do not amplify harm</w:t>
      </w:r>
      <w:r>
        <w:br/>
      </w:r>
      <w:r>
        <w:rPr>
          <w:rFonts w:ascii="Courier New" w:hAnsi="Courier New" w:eastAsia="Courier New"/>
          <w:sz w:val="18"/>
        </w:rPr>
        <w:t>if self-owned or in-group, do not police by surface form alone</w:t>
      </w:r>
      <w:r>
        <w:br/>
      </w:r>
    </w:p>
    <w:p>
      <w:pPr>
        <w:pStyle w:val="Heading1"/>
      </w:pPr>
      <w:r>
        <w:t>9. What still must be blocked</w:t>
      </w:r>
    </w:p>
    <w:p>
      <w:r>
        <w:t>Access does not mean letting everything through. Direct attacks on a person or group can still be blocked. Threats can be blocked. Dehumanising campaigns can be blocked. Reclaimed terms can be protected from out-group weaponisation. A person can be asked to rephrase when their wording lands on someone else as harm.</w:t>
      </w:r>
    </w:p>
    <w:p>
      <w:r>
        <w:t>The difference is that the block should track the act, target, and context, not only the word. Language police often start from the word and then build a story about the speaker. Access practice starts from the object and asks what the speech is doing.</w:t>
      </w:r>
    </w:p>
    <w:p>
      <w:r>
        <w:t>This distinction matters because communities are full of people who cannot or will not speak in approved tones. Some are tired. Some are autistic. Some are mad. Some are working class. Some are angry for good reason. Some are funny in ways that institutions dislike. Some use local words because no approved term carries the right grain. If they are removed at the doorway, the community becomes tidier and less real.</w:t>
      </w:r>
    </w:p>
    <w:p>
      <w:pPr>
        <w:pStyle w:val="Heading1"/>
      </w:pPr>
      <w:r>
        <w:t>10. Conclusion</w:t>
      </w:r>
    </w:p>
    <w:p>
      <w:r>
        <w:t>Language work is necessary. Words can wound, rank, erase, and recruit. But language police can also become an access barrier. When the doorway is polished too hard, the people it was built for may not get in.</w:t>
      </w:r>
    </w:p>
    <w:p>
      <w:r>
        <w:t>The goal is not careless speech. The goal is object custody: preserve the speaker's object, respect local authority, block actual harm, and refuse status filtering disguised as ethics.</w:t>
      </w:r>
    </w:p>
    <w:p>
      <w:r>
        <w:t>A good language practice does not ask only, "Is this approved?" It asks, "Who is being heard, who is being blocked, what object survives, and what kind of reader are we designing for?"</w:t>
      </w:r>
    </w:p>
    <w:p>
      <w:pPr>
        <w:pStyle w:val="Heading1"/>
      </w:pPr>
      <w:r>
        <w:t>References</w:t>
      </w:r>
    </w:p>
    <w:p>
      <w:pPr>
        <w:spacing w:after="80"/>
        <w:ind w:left="360" w:hanging="360"/>
      </w:pPr>
      <w:r>
        <w:t>Beresford, P. (2020). 'Mad', Mad studies and advancing inclusive resistance. Disability &amp; Society, 35(8), 1337-1356.</w:t>
      </w:r>
    </w:p>
    <w:p>
      <w:pPr>
        <w:spacing w:after="80"/>
        <w:ind w:left="360" w:hanging="360"/>
      </w:pPr>
      <w:r>
        <w:t>Buijsman, R., Begeer, S., &amp; Scheeren, A. M. (2022). 'Autistic person' or 'person with autism'? Person-first language preference in Dutch adults with autism and parents. Autism, 27(3), 788-795.</w:t>
      </w:r>
    </w:p>
    <w:p>
      <w:pPr>
        <w:spacing w:after="80"/>
        <w:ind w:left="360" w:hanging="360"/>
      </w:pPr>
      <w:r>
        <w:t>Cushing, I. (2020). The policy and policing of language in schools. Language in Society, 49(3), 425-450.</w:t>
      </w:r>
    </w:p>
    <w:p>
      <w:pPr>
        <w:spacing w:after="80"/>
        <w:ind w:left="360" w:hanging="360"/>
      </w:pPr>
      <w:r>
        <w:t>Kenny, L., Hattersley, C., Molins, B., Buckley, C., Povey, C., &amp; Pellicano, E. (2016). Which terms should be used to describe autism? Perspectives from the UK autism community. Autism, 20(4), 442-462.</w:t>
      </w:r>
    </w:p>
    <w:p>
      <w:pPr>
        <w:spacing w:after="80"/>
        <w:ind w:left="360" w:hanging="360"/>
      </w:pPr>
      <w:r>
        <w:t>Rizvi, N., Strickland, H., Ahmedi, S., &amp; Ousidhoum, N. (2026). Annotator positionality as signal: Psychometric weighting for anti-autistic ableism detection. arXiv preprint arXiv:2605.26397.</w:t>
      </w:r>
    </w:p>
    <w:p>
      <w:pPr>
        <w:spacing w:after="80"/>
        <w:ind w:left="360" w:hanging="360"/>
      </w:pPr>
      <w:r>
        <w:t>Taboas, A., Doepke, K., &amp; Zimmerman, C. (2023). Preferences for identity-first versus person-first language in a US sample of autism stakeholders. Autism, 27(2), 565-570.</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Language Police as Access Barrier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