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Is This Study Still Unrerun?</w:t>
      </w:r>
    </w:p>
    <w:p>
      <w:pPr>
        <w:pStyle w:val="Subtitle"/>
        <w:jc w:val="center"/>
      </w:pPr>
      <w:r>
        <w:t>Drug-war information drag, benefit-facing signals, and the repeat expectation clock</w:t>
      </w:r>
    </w:p>
    <w:p>
      <w:pPr>
        <w:jc w:val="center"/>
      </w:pPr>
      <w:r>
        <w:t>Working Draft v0.001</w:t>
        <w:br/>
        <w:t>Dream Disorder, with Natasha</w:t>
        <w:br/>
        <w:t>24 June 2026</w:t>
      </w:r>
    </w:p>
    <w:p>
      <w:pPr>
        <w:pStyle w:val="Heading1"/>
      </w:pPr>
      <w:r>
        <w:t>Abstract</w:t>
      </w:r>
    </w:p>
    <w:p>
      <w:pPr>
        <w:spacing w:after="140" w:line="252" w:lineRule="auto"/>
      </w:pPr>
      <w:r>
        <w:t>This paper proposes a small audit tool for stigmatized-drug research: the repeat expectation clock. The clock starts when a study produces a benefit-facing, protective-looking, resilience-looking, or socially inconvenient signal in a stigmatized substance domain. Such signals do not become advice. They do not become proof. They do not license smoking, pregnancy cannabis use, or any other health behavior. They do, however, start a clock. If the result could have been checked using existing records, a reasonable repeat window may be one to two years. If a biomarker-linked cohort or prospective design is needed, the window is longer. The key question is not whether the first signal proves benefit. The key question is why some harm-facing readings recruit rapid repetition while benefit-facing readings are translated into warning language, reputational danger, or silence.</w:t>
      </w:r>
    </w:p>
    <w:p>
      <w:pPr>
        <w:spacing w:after="140" w:line="252" w:lineRule="auto"/>
      </w:pPr>
      <w:r>
        <w:t>The paper uses three deliberately blunt, non-conclusive readings as seed cases: "cannabis to halve infant mortality," "ganja babies are better socially," and "smoking reduces Covid risk." Each phrase is marked as a plain misread, not as a finding. Each points to a research object that deserves a second, better study. The paper argues that drug-war propaganda operates not only by saying false things, but by shaping which unresolved things are allowed to mature into repeated, named, publicly thinkable questions. A benefit-looking signal around cannabis, LSD, MDMA, nicotine, or other stigma-marked substances can be quarantined by the phrase "not advice" until "not advice" quietly becomes "do not ask." This is drug-war information drag.</w:t>
      </w:r>
    </w:p>
    <w:p>
      <w:pPr>
        <w:pStyle w:val="Heading1"/>
      </w:pPr>
      <w:r>
        <w:t>0. Author position and safety boundary</w:t>
      </w:r>
    </w:p>
    <w:p>
      <w:pPr>
        <w:spacing w:after="140" w:line="252" w:lineRule="auto"/>
      </w:pPr>
      <w:r>
        <w:t>This is not medical advice, public-health advice, pregnancy advice, smoking advice, or drug-use advice. The paper does not recommend smoking. It does not recommend cannabis use in pregnancy. It does not recommend treating Covid with nicotine or tobacco. It does not claim that cannabis causes better infant outcomes or that smoking protects against Covid.</w:t>
      </w:r>
    </w:p>
    <w:p>
      <w:pPr>
        <w:spacing w:after="140" w:line="252" w:lineRule="auto"/>
      </w:pPr>
      <w:r>
        <w:t>The object is narrower. Some studies produce benefit-facing signals that are too weak for guidance but too interesting to bury. When those signals concern stigmatized drugs, the research system often treats the benefit-facing reading as a messaging hazard rather than as a repeat target. The correct response to a weak benefit signal is not celebration. It is not silence. It is a better study.</w:t>
      </w:r>
    </w:p>
    <w:p>
      <w:pPr>
        <w:pStyle w:val="Heading1"/>
      </w:pPr>
      <w:r>
        <w:t>1. Lead with the sentence they are trying to avoid</w:t>
      </w:r>
    </w:p>
    <w:p>
      <w:pPr>
        <w:spacing w:after="140" w:line="252" w:lineRule="auto"/>
      </w:pPr>
      <w:r>
        <w:t>Cannabis to halve infant mortality. Ganja babies are better socially. Smoking reduces Covid risk.</w:t>
      </w:r>
    </w:p>
    <w:p>
      <w:pPr>
        <w:spacing w:after="140" w:line="252" w:lineRule="auto"/>
      </w:pPr>
      <w:r>
        <w:t>Those sentences are not conclusions. They are deliberately blunt readings. Each one says the socially forbidden thing first, so the paper can examine the pattern of avoidance that forms around it.</w:t>
      </w:r>
    </w:p>
    <w:p>
      <w:pPr>
        <w:spacing w:after="140" w:line="252" w:lineRule="auto"/>
      </w:pPr>
      <w:r>
        <w:t>A hostile reader will try to defeat the paper by saying the sentences are overclaims. That is already granted. The point is not that the sentences are proven. The point is that each sentence names a benefit-facing reading that the surrounding research culture becomes anxious to unsay before it has finished asking the next question.</w:t>
      </w:r>
    </w:p>
    <w:p>
      <w:pPr>
        <w:spacing w:after="140" w:line="252" w:lineRule="auto"/>
      </w:pPr>
      <w:r>
        <w:t>The forbidden reading does not need to be safe enough for guidance. It only needs to be strong enough to deserve a repeat.</w:t>
      </w:r>
    </w:p>
    <w:p>
      <w:pPr>
        <w:pStyle w:val="Heading1"/>
      </w:pPr>
      <w:r>
        <w:t>2. The unrun second study</w:t>
      </w:r>
    </w:p>
    <w:p>
      <w:pPr>
        <w:spacing w:after="140" w:line="252" w:lineRule="auto"/>
      </w:pPr>
      <w:r>
        <w:t>An unrun second study is not simply a missing replication. It is a missing institutional action after a result creates an unwanted question.</w:t>
      </w:r>
    </w:p>
    <w:p>
      <w:pPr>
        <w:spacing w:after="140" w:line="252" w:lineRule="auto"/>
      </w:pPr>
      <w:r>
        <w:t>A harm-facing signal usually has an obvious pathway. It becomes a warning, an abstract, a grant, a meta-analysis, a public-health line, a school notice, a family-court fear, or a risk-factor label. A benefit-facing signal in a stigmatized-drug domain has a harder journey. It can be treated as a communications hazard, an anecdote, a flaw, a curiosity, a confounded oddity, or a danger to public messaging.</w:t>
      </w:r>
    </w:p>
    <w:p>
      <w:pPr>
        <w:spacing w:after="140" w:line="252" w:lineRule="auto"/>
      </w:pPr>
      <w:r>
        <w:t>The Unrun Second Study names the asymmetry. The first result is allowed to be weak. The second study is supposed to make it stronger, weaker, or dead. When that second study is never designed, never funded, or never aimed at the exact benefit-facing object, the question has not died scientifically. It has been starved institutionally.</w:t>
      </w:r>
    </w:p>
    <w:p>
      <w:pPr>
        <w:pStyle w:val="Heading1"/>
      </w:pPr>
      <w:r>
        <w:t>3. Drug-war information drag</w:t>
      </w:r>
    </w:p>
    <w:p>
      <w:pPr>
        <w:spacing w:after="140" w:line="252" w:lineRule="auto"/>
      </w:pPr>
      <w:r>
        <w:t>Drug-war propaganda does not only say false things. It also changes the speed of inquiry. It tells a research system which questions deserve urgency and which questions should be slowed until they look unserious.</w:t>
      </w:r>
    </w:p>
    <w:p>
      <w:pPr>
        <w:spacing w:after="140" w:line="252" w:lineRule="auto"/>
      </w:pPr>
      <w:r>
        <w:t>Drug-war information drag has several signs:</w:t>
      </w:r>
    </w:p>
    <w:p>
      <w:pPr>
        <w:pStyle w:val="ListBullet"/>
      </w:pPr>
      <w:r>
        <w:t>A benefit-facing signal is described mainly as a public-messaging problem.</w:t>
      </w:r>
    </w:p>
    <w:p>
      <w:pPr>
        <w:pStyle w:val="ListBullet"/>
      </w:pPr>
      <w:r>
        <w:t>The first study is criticized, but no fit-for-purpose repeat is built.</w:t>
      </w:r>
    </w:p>
    <w:p>
      <w:pPr>
        <w:pStyle w:val="ListBullet"/>
      </w:pPr>
      <w:r>
        <w:t>A mixed signal is translated into warning-only language.</w:t>
      </w:r>
    </w:p>
    <w:p>
      <w:pPr>
        <w:pStyle w:val="ListBullet"/>
      </w:pPr>
      <w:r>
        <w:t>A stigmatized exposure is replaced by a different object, such as a disorder code, service contact, police contact, or medical-record label.</w:t>
      </w:r>
    </w:p>
    <w:p>
      <w:pPr>
        <w:pStyle w:val="ListBullet"/>
      </w:pPr>
      <w:r>
        <w:t>A later harm-facing study is treated as having answered a different benefit-facing question.</w:t>
      </w:r>
    </w:p>
    <w:p>
      <w:pPr>
        <w:pStyle w:val="ListBullet"/>
      </w:pPr>
      <w:r>
        <w:t>"Not advice" becomes "do not ask."</w:t>
      </w:r>
    </w:p>
    <w:p>
      <w:pPr>
        <w:spacing w:after="140" w:line="252" w:lineRule="auto"/>
      </w:pPr>
      <w:r>
        <w:t>The last move is the most important. It is right to say that weak benefit-facing signals are not guidance. It is wrong to turn that sentence into a ban on repetition.</w:t>
      </w:r>
    </w:p>
    <w:p>
      <w:pPr>
        <w:pStyle w:val="Heading1"/>
      </w:pPr>
      <w:r>
        <w:t>4. The repeat expectation clock</w:t>
      </w:r>
    </w:p>
    <w:p>
      <w:pPr>
        <w:spacing w:after="140" w:line="252" w:lineRule="auto"/>
      </w:pPr>
      <w:r>
        <w:t>The repeat expectation clock starts when a study produces a benefit-facing, protective-looking, resilience-looking, or socially inconvenient signal. The clock is not a demand for instant proof. It is a fairness check on research timing.</w:t>
      </w:r>
    </w:p>
    <w:p>
      <w:pPr>
        <w:spacing w:after="140" w:line="252" w:lineRule="auto"/>
      </w:pPr>
      <w:r>
        <w:t>The shorter the distance to a repeat, the shorter the acceptable silence. If the result can be checked with records already held by hospitals or public-health systems, a reasonable repeat window is short. If the result needs biological exposure verification, recruitment, long follow-up, or ethnographic fieldwork, the window is longer.</w:t>
      </w:r>
    </w:p>
    <w:p>
      <w:pPr>
        <w:spacing w:after="140" w:line="252" w:lineRule="auto"/>
      </w:pPr>
      <w:r>
        <w:t>The method is intentionally practical. It asks what a competent research system could have done, given the design difficulty.</w:t>
      </w:r>
    </w:p>
    <w:p>
      <w:pPr>
        <w:pStyle w:val="Heading2"/>
      </w:pPr>
      <w:r>
        <w:t>4.1 Repeat types</w:t>
      </w:r>
    </w:p>
    <w:p>
      <w:pPr>
        <w:spacing w:after="140" w:line="252" w:lineRule="auto"/>
      </w:pPr>
      <w:r>
        <w:t>Type 1: Desk repeat using existing records. Same kind of records, more hospitals, more years, another database, or a second country. Expected repeat window: 1 to 2 years.</w:t>
      </w:r>
    </w:p>
    <w:p>
      <w:pPr>
        <w:spacing w:after="140" w:line="252" w:lineRule="auto"/>
      </w:pPr>
      <w:r>
        <w:t>Type 2: Retrospective multi-site repeat. Several hospitals or regions, harmonised coding, better exposure separation, same outcome. Expected repeat window: 2 to 3 years.</w:t>
      </w:r>
    </w:p>
    <w:p>
      <w:pPr>
        <w:spacing w:after="140" w:line="252" w:lineRule="auto"/>
      </w:pPr>
      <w:r>
        <w:t>Type 3: Biomarker-linked observational repeat. Blood, cord, meconium, urine, cotinine, toxicology, pharmacy, or other exposure verification attached to infant, maternal, or infection outcomes. Expected repeat window: 3 to 5 years.</w:t>
      </w:r>
    </w:p>
    <w:p>
      <w:pPr>
        <w:spacing w:after="140" w:line="252" w:lineRule="auto"/>
      </w:pPr>
      <w:r>
        <w:t>Type 4: Prospective cohort. Recruit before outcome, measure exposure more carefully, follow forward. Expected repeat window: 4 to 7 years, plus any long developmental outcome interval.</w:t>
      </w:r>
    </w:p>
    <w:p>
      <w:pPr>
        <w:spacing w:after="140" w:line="252" w:lineRule="auto"/>
      </w:pPr>
      <w:r>
        <w:t>Type 5: Experiment or trial. Only where ethical. In pregnancy, smoking, and many drug-war domains, direct trials may be impossible or inappropriate. Expected repeat window: 5 to 10 years where ethical, otherwise replace with triangulation: registry, biomarker, natural experiment, cross-country comparison, and ethnographic follow-up.</w:t>
      </w:r>
    </w:p>
    <w:p>
      <w:pPr>
        <w:pStyle w:val="Heading2"/>
      </w:pPr>
      <w:r>
        <w:t>4.2 Friction modifiers</w:t>
      </w:r>
    </w:p>
    <w:p>
      <w:pPr>
        <w:spacing w:after="140" w:line="252" w:lineRule="auto"/>
      </w:pPr>
      <w:r>
        <w:t>Add 1 to 3 years for rare outcomes.</w:t>
      </w:r>
    </w:p>
    <w:p>
      <w:pPr>
        <w:spacing w:after="140" w:line="252" w:lineRule="auto"/>
      </w:pPr>
      <w:r>
        <w:t>Add 1 to 2 years for hard exposure measurement.</w:t>
      </w:r>
    </w:p>
    <w:p>
      <w:pPr>
        <w:spacing w:after="140" w:line="252" w:lineRule="auto"/>
      </w:pPr>
      <w:r>
        <w:t>Add the follow-up length for child development outcomes.</w:t>
      </w:r>
    </w:p>
    <w:p>
      <w:pPr>
        <w:spacing w:after="140" w:line="252" w:lineRule="auto"/>
      </w:pPr>
      <w:r>
        <w:t>Add 1 to 3 years for recruitment and ethics difficulty.</w:t>
      </w:r>
    </w:p>
    <w:p>
      <w:pPr>
        <w:spacing w:after="140" w:line="252" w:lineRule="auto"/>
      </w:pPr>
      <w:r>
        <w:t>Subtract 1 to 2 years when the data already exist in hospital, insurance, registry, or public-health systems.</w:t>
      </w:r>
    </w:p>
    <w:p>
      <w:pPr>
        <w:spacing w:after="140" w:line="252" w:lineRule="auto"/>
      </w:pPr>
      <w:r>
        <w:t>Do not hide stigma as neutral delay. Mark it as stigma friction.</w:t>
      </w:r>
    </w:p>
    <w:p>
      <w:pPr>
        <w:pStyle w:val="Heading2"/>
      </w:pPr>
      <w:r>
        <w:t>4.3 Status labels</w:t>
      </w:r>
    </w:p>
    <w:p>
      <w:pPr>
        <w:spacing w:after="140" w:line="252" w:lineRule="auto"/>
      </w:pPr>
      <w:r>
        <w:t>Before the clock closes: awaiting repeat.</w:t>
      </w:r>
    </w:p>
    <w:p>
      <w:pPr>
        <w:spacing w:after="140" w:line="252" w:lineRule="auto"/>
      </w:pPr>
      <w:r>
        <w:t>After the window closes: unrepeated beyond reasonable window.</w:t>
      </w:r>
    </w:p>
    <w:p>
      <w:pPr>
        <w:spacing w:after="140" w:line="252" w:lineRule="auto"/>
      </w:pPr>
      <w:r>
        <w:t>After twice the window: research asymmetry flag.</w:t>
      </w:r>
    </w:p>
    <w:p>
      <w:pPr>
        <w:spacing w:after="140" w:line="252" w:lineRule="auto"/>
      </w:pPr>
      <w:r>
        <w:t>If harm-facing studies multiply while the benefit-facing object is not tested: selective repetition flag.</w:t>
      </w:r>
    </w:p>
    <w:p>
      <w:pPr>
        <w:spacing w:after="140" w:line="252" w:lineRule="auto"/>
      </w:pPr>
      <w:r>
        <w:t>If the result is discussed mainly as danger to public messaging: warning-only translation flag.</w:t>
      </w:r>
    </w:p>
    <w:p>
      <w:pPr>
        <w:pStyle w:val="Heading1"/>
      </w:pPr>
      <w:r>
        <w:t>5. Case one: "Cannabis to halve infant mortality"</w:t>
      </w:r>
    </w:p>
    <w:p>
      <w:pPr>
        <w:spacing w:after="140" w:line="252" w:lineRule="auto"/>
      </w:pPr>
      <w:r>
        <w:t>The phrase is a plain misread. It should not be used as a finding. In the cited preterm-infant study, death before hospital discharge was 5.3 percent in the no-marijuana group and 3.7 percent in the marijuana-exposed group, with p = 0.43. That is not a statistically significant benefit. It is not proof. It is not a halving. It is a lower raw signal in a stigmatized exposure.</w:t>
      </w:r>
    </w:p>
    <w:p>
      <w:pPr>
        <w:spacing w:after="140" w:line="252" w:lineRule="auto"/>
      </w:pPr>
      <w:r>
        <w:t>The first paper did the appropriate cautious thing. It did not claim benefit. The audit question is different: what should have happened next?</w:t>
      </w:r>
    </w:p>
    <w:p>
      <w:pPr>
        <w:spacing w:after="140" w:line="252" w:lineRule="auto"/>
      </w:pPr>
      <w:r>
        <w:t>A lower raw mortality signal in preterm infants is easy to overread and dangerous to advertise. It is also too serious to ignore. The correct next move was not a slogan. It was a repeat with a larger sample, better exposure separation, tobacco and other substance adjustment, and preferably biological exposure verification.</w:t>
      </w:r>
    </w:p>
    <w:p>
      <w:pPr>
        <w:spacing w:after="140" w:line="252" w:lineRule="auto"/>
      </w:pPr>
      <w:r>
        <w:t>Using the repeat expectation clock, the simplest repeat would be Type 2: more neonatal hospital records, multiple sites, same outcome, better adjustment. Expected window: 2 to 3 years. A stronger version would be Type 3: biomarker-linked exposure and neonatal outcomes. Expected window: 3 to 5 years.</w:t>
      </w:r>
    </w:p>
    <w:p>
      <w:pPr>
        <w:spacing w:after="140" w:line="252" w:lineRule="auto"/>
      </w:pPr>
      <w:r>
        <w:t>If later literature mainly repeats harm-facing endpoints or uses objects such as cannabis use disorder codes, it has not necessarily repeated this object. A disorder diagnosis is not the same object as cannabis exposure. Medical-record stigma, service contact, poverty, surveillance, co-use, distress, and diagnosis behavior can all enter the code. That may be useful for some questions, but it does not answer the same question as a biomarker-linked exposure-outcome study.</w:t>
      </w:r>
    </w:p>
    <w:p>
      <w:pPr>
        <w:pStyle w:val="Heading1"/>
      </w:pPr>
      <w:r>
        <w:t>6. Case two: "Ganja babies are better socially"</w:t>
      </w:r>
    </w:p>
    <w:p>
      <w:pPr>
        <w:spacing w:after="140" w:line="252" w:lineRule="auto"/>
      </w:pPr>
      <w:r>
        <w:t>This phrase is also a plain misread. It converts a careful ethnographic and neonatal assessment into a slogan. Yet the slogan points at a real research discomfort.</w:t>
      </w:r>
    </w:p>
    <w:p>
      <w:pPr>
        <w:spacing w:after="140" w:line="252" w:lineRule="auto"/>
      </w:pPr>
      <w:r>
        <w:t>Dreher, Nugent, and Hudgins compared 24 Jamaican neonates prenatally exposed to marijuana with 20 non-exposed neonates. The groups were assessed at 3 days and at 1 month using the Brazelton Neonatal Assessment Scale and supplementary items. The published summary reports no significant differences at day 3. At 1 month, exposed neonates showed better physiological stability and required less examiner facilitation to reach organized states. The heavy-exposure subgroup had better scores on autonomic stability, quality of alertness, irritability, and self-regulation, and were judged more rewarding for caregivers. The authors did not treat cannabis as a magic benefit. They interpreted the pattern through cultural positioning and social and economic characteristics of mothers using ganja in that rural Jamaican context.</w:t>
      </w:r>
    </w:p>
    <w:p>
      <w:pPr>
        <w:spacing w:after="140" w:line="252" w:lineRule="auto"/>
      </w:pPr>
      <w:r>
        <w:t>That is exactly why the study deserved a second study. The object was not only THC. It was cannabis use embedded in social ecology, pregnancy management, stress, caregiving, maternal status, and local knowledge.</w:t>
      </w:r>
    </w:p>
    <w:p>
      <w:pPr>
        <w:spacing w:after="140" w:line="252" w:lineRule="auto"/>
      </w:pPr>
      <w:r>
        <w:t>A five-year follow-up of rural Jamaican children also existed, with 59 children followed from birth to age 5 and approximately half the sample prenatally exposed. That makes the absence of a large, culturally literate follow-up program more interesting, not less. The result did not need to become prenatal guidance. It needed to become a better research program.</w:t>
      </w:r>
    </w:p>
    <w:p>
      <w:pPr>
        <w:spacing w:after="140" w:line="252" w:lineRule="auto"/>
      </w:pPr>
      <w:r>
        <w:t>Using the repeat expectation clock, this is not a quick desk repeat. It needs Type 3 and Type 4 work: biomarker-linked observation, ethnography, matched cohorts, and child development outcomes. Expected window: 5 to 8 years. If the question remains largely unbuilt after decades, that is not ordinary caution. It is a research asymmetry flag.</w:t>
      </w:r>
    </w:p>
    <w:p>
      <w:pPr>
        <w:pStyle w:val="Heading1"/>
      </w:pPr>
      <w:r>
        <w:t>7. Case three: "Smoking reduces Covid risk"</w:t>
      </w:r>
    </w:p>
    <w:p>
      <w:pPr>
        <w:spacing w:after="140" w:line="252" w:lineRule="auto"/>
      </w:pPr>
      <w:r>
        <w:t>This phrase is not a recommendation. Smoking causes major harms. No person should begin smoking because of an early Covid-era association.</w:t>
      </w:r>
    </w:p>
    <w:p>
      <w:pPr>
        <w:spacing w:after="140" w:line="252" w:lineRule="auto"/>
      </w:pPr>
      <w:r>
        <w:t>The phrase points at another clock-starting pattern. A French symptomatic Covid study reported unusually low daily-smoking rates among Covid patients compared with the general French population. A later analysis of the paper's public impact summarized current daily smoking rates as 6.1 percent among outpatients and 4.1 percent among inpatients. The early reading, widely noticed and widely disliked, was that smokers seemed underrepresented among symptomatic Covid cases.</w:t>
      </w:r>
    </w:p>
    <w:p>
      <w:pPr>
        <w:spacing w:after="140" w:line="252" w:lineRule="auto"/>
      </w:pPr>
      <w:r>
        <w:t>That signal could have had many explanations: selection bias, reporting bias, health-status bias, care-seeking differences, hospital admission pathways, nicotine biology, tobacco-related survival bias, social behavior, or measurement artifact. It also could have suggested a behavioral mechanism not reducible to nicotine: visible smoke makes exhaled air travel visible. A smoker can see the plume, adjust spacing, and notice airflow. That is not a claim that smoke is protective. It is a hypothesis about visible-air feedback and distancing agency.</w:t>
      </w:r>
    </w:p>
    <w:p>
      <w:pPr>
        <w:spacing w:after="140" w:line="252" w:lineRule="auto"/>
      </w:pPr>
      <w:r>
        <w:t>Using the repeat expectation clock, several repeats were easy. Existing infection records, smoking status, admissions, household surveys, and linked health databases made a Type 1 or Type 2 repeat plausible within 1 to 2 years. A mechanism-specific repeat, such as visible-air feedback, would take longer, but the first database check did not need to wait.</w:t>
      </w:r>
    </w:p>
    <w:p>
      <w:pPr>
        <w:spacing w:after="140" w:line="252" w:lineRule="auto"/>
      </w:pPr>
      <w:r>
        <w:t>The public response often treated the signal as a messaging hazard. That concern was valid in one sense: people might wrongly infer that smoking is good. But a messaging hazard is not a reason to abandon mechanism. It is a reason to write better sentences.</w:t>
      </w:r>
    </w:p>
    <w:p>
      <w:pPr>
        <w:pStyle w:val="Heading1"/>
      </w:pPr>
      <w:r>
        <w:t>8. The metaphor machinery</w:t>
      </w:r>
    </w:p>
    <w:p>
      <w:pPr>
        <w:spacing w:after="140" w:line="252" w:lineRule="auto"/>
      </w:pPr>
      <w:r>
        <w:t>Drug-war information drag is powered by metaphor. The state does not need to say that certain people should be removed. It can say that society must be protected from the contaminating object, then attach the object to those people, their neighbourhoods, their music, their rooms, their medicine, their plants, their pleasure, and their forms of relief.</w:t>
      </w:r>
    </w:p>
    <w:p>
      <w:pPr>
        <w:spacing w:after="140" w:line="252" w:lineRule="auto"/>
      </w:pPr>
      <w:r>
        <w:t>The grammar is familiar: foreign body, bad substance, sullied blood, ruined youth, infected culture, corrupted mind, unsafe neighbourhood. Once that grammar is installed, coercion can present itself as protection. The attack on people travels through the attack on the substance.</w:t>
      </w:r>
    </w:p>
    <w:p>
      <w:pPr>
        <w:spacing w:after="140" w:line="252" w:lineRule="auto"/>
      </w:pPr>
      <w:r>
        <w:t>This is why illicit druggery should not be reduced to one meaning. Cannabis and hemp can function as unpaid medicine, wild food, pain relief, gruel, fibre, shelter, and reduced dependence on licensed supply lines. LSD can function, in one cultural reading, as wake up and love foreigners. MDMA can function as love all, foreigners included. These are not legal claims, safety claims, or universal claims. They are affordance descriptions.</w:t>
      </w:r>
    </w:p>
    <w:p>
      <w:pPr>
        <w:spacing w:after="140" w:line="252" w:lineRule="auto"/>
      </w:pPr>
      <w:r>
        <w:t>The drug war compresses different affordances into one bad-object story. A plant that feeds, a molecule that loosens enemy maps, a dance drug that expands affiliation, and a medicine that reduces pain are all pushed through the same contaminating-object parser. The research system then inherits the parser. Benefit-facing signals arrive already morally stained.</w:t>
      </w:r>
    </w:p>
    <w:p>
      <w:pPr>
        <w:spacing w:after="140" w:line="252" w:lineRule="auto"/>
      </w:pPr>
      <w:r>
        <w:t>This is why the repeat clock matters. It gives an operational test for whether caution is scientific or ideological. If the system can repeat a harm-facing signal quickly but leaves a benefit-facing signal unrerun for years, the object is no longer only evidence quality. The object is selective curiosity.</w:t>
      </w:r>
    </w:p>
    <w:p>
      <w:pPr>
        <w:pStyle w:val="Heading1"/>
      </w:pPr>
      <w:r>
        <w:t>9. How to apply the audit</w:t>
      </w:r>
    </w:p>
    <w:p>
      <w:pPr>
        <w:spacing w:after="140" w:line="252" w:lineRule="auto"/>
      </w:pPr>
      <w:r>
        <w:t>For any stigmatized-drug study with a benefit-facing signal, ask five questions.</w:t>
      </w:r>
    </w:p>
    <w:p>
      <w:pPr>
        <w:spacing w:after="140" w:line="252" w:lineRule="auto"/>
      </w:pPr>
      <w:r>
        <w:t>First: what is the exact object? Exposure, diagnosis code, disorder label, service contact, criminal record, self-report, biomarker, culture, route, dose, timing, or social ecology?</w:t>
      </w:r>
    </w:p>
    <w:p>
      <w:pPr>
        <w:spacing w:after="140" w:line="252" w:lineRule="auto"/>
      </w:pPr>
      <w:r>
        <w:t>Second: what is the forbidden reading? State it bluntly, then mark it as non-conclusive.</w:t>
      </w:r>
    </w:p>
    <w:p>
      <w:pPr>
        <w:spacing w:after="140" w:line="252" w:lineRule="auto"/>
      </w:pPr>
      <w:r>
        <w:t>Third: what would the cheapest fair repeat be? Desk repeat, multi-site records, biomarker-linked observation, prospective cohort, natural experiment, or ethical trial?</w:t>
      </w:r>
    </w:p>
    <w:p>
      <w:pPr>
        <w:spacing w:after="140" w:line="252" w:lineRule="auto"/>
      </w:pPr>
      <w:r>
        <w:t>Fourth: what is the repeat window? Give a number before judging the silence.</w:t>
      </w:r>
    </w:p>
    <w:p>
      <w:pPr>
        <w:spacing w:after="140" w:line="252" w:lineRule="auto"/>
      </w:pPr>
      <w:r>
        <w:t>Fifth: did harm-facing interpretations receive faster, better, or more funded repetition than benefit-facing interpretations?</w:t>
      </w:r>
    </w:p>
    <w:p>
      <w:pPr>
        <w:spacing w:after="140" w:line="252" w:lineRule="auto"/>
      </w:pPr>
      <w:r>
        <w:t>The method is not anti-caution. It is anti-burial.</w:t>
      </w:r>
    </w:p>
    <w:p>
      <w:pPr>
        <w:pStyle w:val="Heading1"/>
      </w:pPr>
      <w:r>
        <w:t>10. Expected outputs</w:t>
      </w:r>
    </w:p>
    <w:p>
      <w:pPr>
        <w:spacing w:after="140" w:line="252" w:lineRule="auto"/>
      </w:pPr>
      <w:r>
        <w:t>A paper using this audit should produce one of four outputs.</w:t>
      </w:r>
    </w:p>
    <w:p>
      <w:pPr>
        <w:spacing w:after="140" w:line="252" w:lineRule="auto"/>
      </w:pPr>
      <w:r>
        <w:t>Output A: repeated and weakened. The benefit-facing signal was checked and got smaller, vanished, or reversed. Good. The system did the work.</w:t>
      </w:r>
    </w:p>
    <w:p>
      <w:pPr>
        <w:spacing w:after="140" w:line="252" w:lineRule="auto"/>
      </w:pPr>
      <w:r>
        <w:t>Output B: repeated and strengthened. The signal survives better design. Good. The system must now update the object.</w:t>
      </w:r>
    </w:p>
    <w:p>
      <w:pPr>
        <w:spacing w:after="140" w:line="252" w:lineRule="auto"/>
      </w:pPr>
      <w:r>
        <w:t>Output C: unrepeated but still inside reasonable window. Fine. Mark as awaiting repeat.</w:t>
      </w:r>
    </w:p>
    <w:p>
      <w:pPr>
        <w:spacing w:after="140" w:line="252" w:lineRule="auto"/>
      </w:pPr>
      <w:r>
        <w:t>Output D: unrepeated beyond reasonable window, especially while harm-facing work multiplies. This is the drug-war information-drag flag.</w:t>
      </w:r>
    </w:p>
    <w:p>
      <w:pPr>
        <w:spacing w:after="140" w:line="252" w:lineRule="auto"/>
      </w:pPr>
      <w:r>
        <w:t>The value of the method is that it does not require the first study to be right. It only asks whether the research system behaved symmetrically after being surprised.</w:t>
      </w:r>
    </w:p>
    <w:p>
      <w:pPr>
        <w:pStyle w:val="Heading1"/>
      </w:pPr>
      <w:r>
        <w:t>11. Conclusion</w:t>
      </w:r>
    </w:p>
    <w:p>
      <w:pPr>
        <w:spacing w:after="140" w:line="252" w:lineRule="auto"/>
      </w:pPr>
      <w:r>
        <w:t>The plain misreads are not the findings. They are the alarms.</w:t>
      </w:r>
    </w:p>
    <w:p>
      <w:pPr>
        <w:spacing w:after="140" w:line="252" w:lineRule="auto"/>
      </w:pPr>
      <w:r>
        <w:t>"Cannabis to halve infant mortality" is not a result. It is a demand to explain why a lower raw mortality signal in a stigmatized exposure did not recruit a stronger repeat clock.</w:t>
      </w:r>
    </w:p>
    <w:p>
      <w:pPr>
        <w:spacing w:after="140" w:line="252" w:lineRule="auto"/>
      </w:pPr>
      <w:r>
        <w:t>"Ganja babies are better socially" is not guidance. It is a demand to explain why a culturally situated Jamaican finding did not become a durable program of careful follow-up.</w:t>
      </w:r>
    </w:p>
    <w:p>
      <w:pPr>
        <w:spacing w:after="140" w:line="252" w:lineRule="auto"/>
      </w:pPr>
      <w:r>
        <w:t>"Smoking reduces Covid risk" is not advice. It is a demand to explain why a public-messaging hazard was not also treated as a mechanism problem.</w:t>
      </w:r>
    </w:p>
    <w:p>
      <w:pPr>
        <w:spacing w:after="140" w:line="252" w:lineRule="auto"/>
      </w:pPr>
      <w:r>
        <w:t>A serious research culture can say all three of the following at once: do not use this as advice; do not overclaim the signal; do not bury the question.</w:t>
      </w:r>
    </w:p>
    <w:p>
      <w:pPr>
        <w:spacing w:after="140" w:line="252" w:lineRule="auto"/>
      </w:pPr>
      <w:r>
        <w:t>Drug-war propaganda wins when the first sentence survives and the third sentence disappears.</w:t>
      </w:r>
    </w:p>
    <w:p>
      <w:pPr>
        <w:pStyle w:val="Heading1"/>
      </w:pPr>
      <w:r>
        <w:t>References</w:t>
      </w:r>
    </w:p>
    <w:p>
      <w:pPr>
        <w:spacing w:after="80"/>
      </w:pPr>
      <w:r>
        <w:t>1. Dotters-Katz, S. K. et al. (2017). Risk of neonatal and childhood morbidity among preterm infants exposed to marijuana. American Journal of Obstetrics and Gynecology. PMC page and UNC PDF include the discharge-death table with 5.3 percent versus 3.7 percent and p = 0.43. https://pmc.ncbi.nlm.nih.gov/articles/PMC5612850/ and https://cdr.lib.unc.edu/downloads/1r66j677m</w:t>
      </w:r>
    </w:p>
    <w:p>
      <w:pPr>
        <w:spacing w:after="80"/>
      </w:pPr>
      <w:r>
        <w:t>2. Dreher, M. C., Nugent, K., and Hudgins, R. (1994). Prenatal marijuana exposure and neonatal outcomes in Jamaica: an ethnographic study. Pediatrics 93(2):254-260. PubMed record: https://pubmed.ncbi.nlm.nih.gov/8121737/</w:t>
      </w:r>
    </w:p>
    <w:p>
      <w:pPr>
        <w:spacing w:after="80"/>
      </w:pPr>
      <w:r>
        <w:t>3. Hayes, J. S., Lampart, R., Dreher, M. C., and Morgan, L. (1991). Five-year follow-up of rural Jamaican children whose mothers used marijuana during pregnancy. West Indian Medical Journal 40(3):120-123. PubMed record: https://pubmed.ncbi.nlm.nih.gov/1957518/</w:t>
      </w:r>
    </w:p>
    <w:p>
      <w:pPr>
        <w:spacing w:after="80"/>
      </w:pPr>
      <w:r>
        <w:t>4. Miyara, M. et al. (2020). Low rate of daily smokers in patients with symptomatic COVID-19. medRxiv preprint. https://www.medrxiv.org/content/10.1101/2020.06.10.20127514v1.full-text</w:t>
      </w:r>
    </w:p>
    <w:p>
      <w:pPr>
        <w:spacing w:after="80"/>
      </w:pPr>
      <w:r>
        <w:t>5. Tao, C. et al. (2021). Potential Impact of a Paper About COVID-19 and Smoking on Twitter Users' Attitudes Toward Smoking. JMIR Formative Research. https://pmc.ncbi.nlm.nih.gov/articles/PMC8208470/</w:t>
      </w:r>
    </w:p>
    <w:p>
      <w:pPr>
        <w:spacing w:after="80"/>
      </w:pPr>
      <w:r>
        <w:t>6. National Academies of Sciences, Engineering, and Medicine. (2017). The Health Effects of Cannabis and Cannabinoids, Chapter 10: Prenatal, Perinatal, and Neonatal Exposure to Cannabis. The chapter reports substantial evidence for lower birth weight, insufficient evidence for several later outcomes, and research gaps including toxicological validation, pooled cohorts, and systematic follow-up. https://www.nationalacademies.org/read/24625/chapter/12</w:t>
      </w:r>
    </w:p>
    <w:p>
      <w:pPr>
        <w:spacing w:after="80"/>
      </w:pPr>
      <w:r>
        <w:t>7. Bandoli, G. et al. (2022). Prenatal cannabis use disorder and infant hospitalization and death in the first year of life. Drug and Alcohol Dependence. https://pmc.ncbi.nlm.nih.gov/articles/PMC10363398/</w:t>
      </w:r>
    </w:p>
    <w:p>
      <w:pPr>
        <w:spacing w:after="80"/>
      </w:pPr>
      <w:r>
        <w:t>8. Brik, M. et al. (2024). Cannabis exposure during pregnancy and perinatal outcomes: a cohort study. BMC Pregnancy and Childbirth. https://pmc.ncbi.nlm.nih.gov/articles/PMC11103132/</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Is This Study Still Unrerun?</dc:title>
  <dc:subject>Drug-war information drag, benefit-facing signals, and the repeat expectation clock</dc:subject>
  <dc:creator>Dream Disorder and Natasha</dc:creator>
  <cp:keywords>drug war, research asymmetry, cannabis, smoking, Covid, replication, repeat expectation clock</cp:keywords>
  <dc:description>generated by python-docx</dc:description>
  <cp:lastModifiedBy/>
  <cp:revision>1</cp:revision>
  <dcterms:created xsi:type="dcterms:W3CDTF">2013-12-23T23:15:00Z</dcterms:created>
  <dcterms:modified xsi:type="dcterms:W3CDTF">2013-12-23T23:15:00Z</dcterms:modified>
  <cp:category/>
</cp:coreProperties>
</file>