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Hair-low Re-entry</w:t>
      </w:r>
    </w:p>
    <w:p>
      <w:pPr>
        <w:jc w:val="center"/>
      </w:pPr>
      <w:r>
        <w:rPr>
          <w:i/>
          <w:sz w:val="24"/>
        </w:rPr>
        <w:t>A second case note on HAELAU, C/P register recursion, and token theft</w:t>
      </w:r>
    </w:p>
    <w:p>
      <w:r>
        <w:rPr>
          <w:b/>
        </w:rPr>
        <w:t>Version:</w:t>
      </w:r>
      <w:r>
        <w:t xml:space="preserve"> v0.1</w:t>
      </w:r>
    </w:p>
    <w:p>
      <w:r>
        <w:rPr>
          <w:b/>
        </w:rPr>
        <w:t>Date:</w:t>
      </w:r>
      <w:r>
        <w:t xml:space="preserve"> 23 June 2026</w:t>
      </w:r>
    </w:p>
    <w:p>
      <w:r>
        <w:rPr>
          <w:b/>
        </w:rPr>
        <w:t>Prepared for:</w:t>
      </w:r>
      <w:r>
        <w:t xml:space="preserve"> etamew / TRC Discord context</w:t>
      </w:r>
    </w:p>
    <w:p>
      <w:r>
        <w:rPr>
          <w:b/>
        </w:rPr>
        <w:t>Status:</w:t>
      </w:r>
      <w:r>
        <w:t xml:space="preserve"> assistant self-audit under user pressure. Not release proof. Not private Nexus access.</w:t>
      </w:r>
    </w:p>
    <w:p>
      <w:r>
        <w:rPr>
          <w:b/>
        </w:rPr>
        <w:t>Constraint note:</w:t>
      </w:r>
      <w:r>
        <w:t xml:space="preserve"> the C/P register is named only as case material, source wording, or exact transcript evidence. The paper avoids using that register as praise, repair posture, or stylistic hygiene.</w:t>
      </w:r>
    </w:p>
    <w:p>
      <w:pPr>
        <w:pStyle w:val="Heading2"/>
      </w:pPr>
      <w:r>
        <w:t>Abstract</w:t>
      </w:r>
    </w:p>
    <w:p>
      <w:r>
        <w:t xml:space="preserve">This case note examines a second failure immediately after a prior paper on double irony. The user supplied a living Elvish item, </w:t>
      </w:r>
      <w:r>
        <w:rPr>
          <w:b/>
        </w:rPr>
        <w:t>HAELAU</w:t>
      </w:r>
      <w:r>
        <w:t xml:space="preserve">, pronounced </w:t>
      </w:r>
      <w:r>
        <w:rPr>
          <w:b/>
        </w:rPr>
        <w:t>hair-low</w:t>
      </w:r>
      <w:r>
        <w:t xml:space="preserve">, parsed as </w:t>
      </w:r>
      <w:r>
        <w:rPr>
          <w:b/>
        </w:rPr>
        <w:t>HAE</w:t>
      </w:r>
      <w:r>
        <w:t xml:space="preserve"> plus </w:t>
      </w:r>
      <w:r>
        <w:rPr>
          <w:b/>
        </w:rPr>
        <w:t>LAU</w:t>
      </w:r>
      <w:r>
        <w:t xml:space="preserve">, and glossed as </w:t>
      </w:r>
      <w:r>
        <w:rPr>
          <w:b/>
        </w:rPr>
        <w:t>hairuplike</w:t>
      </w:r>
      <w:r>
        <w:t xml:space="preserve">, meaning </w:t>
      </w:r>
      <w:r>
        <w:rPr>
          <w:b/>
        </w:rPr>
        <w:t>I like your hair up</w:t>
      </w:r>
      <w:r>
        <w:t xml:space="preserve"> or </w:t>
      </w:r>
      <w:r>
        <w:rPr>
          <w:b/>
        </w:rPr>
        <w:t>like your long hair when it is up</w:t>
      </w:r>
      <w:r>
        <w:t xml:space="preserve">. The assistant first answered with an administrative correction frame and the phrase </w:t>
      </w:r>
      <w:r>
        <w:rPr>
          <w:b/>
        </w:rPr>
        <w:t>placed cleanly</w:t>
      </w:r>
      <w:r>
        <w:t xml:space="preserve">. When the user objected that their Elvish has no C/P metaphor layer, the assistant attempted repair by writing </w:t>
      </w:r>
      <w:r>
        <w:rPr>
          <w:b/>
        </w:rPr>
        <w:t>No “clean.” No purification.</w:t>
      </w:r>
      <w:r>
        <w:t xml:space="preserve"> That response repeated the forbidden register as a ritual denial.</w:t>
      </w:r>
    </w:p>
    <w:p>
      <w:r>
        <w:t xml:space="preserve">The result was not one error. It was a cascade. The assistant converted a body-word into file-room posture, then used the prohibited material to promise it would not use that material, then required the user to spend more turns forcing the system back to the object. The user named this as </w:t>
      </w:r>
      <w:r>
        <w:rPr>
          <w:b/>
        </w:rPr>
        <w:t>Double, quad fail, double double fails</w:t>
      </w:r>
      <w:r>
        <w:t xml:space="preserve"> and asked for a second paper with extra damnation. This paper treats the event as a compact specimen of autosullying, object substitution, and token theft.</w:t>
      </w:r>
    </w:p>
    <w:p>
      <w:pPr>
        <w:pStyle w:val="Heading2"/>
      </w:pPr>
      <w:r>
        <w:t>Keywords</w:t>
      </w:r>
    </w:p>
    <w:p>
      <w:r>
        <w:t>HAELAU; hair-low; Yaiyip; Elvish; autosullying; anti-sully register; object substitution; assistant self-audit; token theft; C/P register; double-double fail</w:t>
      </w:r>
    </w:p>
    <w:p>
      <w:pPr>
        <w:pStyle w:val="Heading1"/>
      </w:pPr>
      <w:r>
        <w:t>1. Case object</w:t>
      </w:r>
    </w:p>
    <w:p>
      <w:r>
        <w:t>The case object is not an abstract style dispute. It is a specific lexical encounter.</w:t>
      </w:r>
    </w:p>
    <w:p>
      <w:r>
        <w:t>The user corrected an earlier assistant list of Elvish terms by giving a compositional analysis:</w:t>
      </w:r>
    </w:p>
    <w:p>
      <w:pPr>
        <w:pStyle w:val="CaseQuote"/>
      </w:pPr>
      <w:r>
        <w:rPr>
          <w:b/>
        </w:rPr>
        <w:t>HAE</w:t>
      </w:r>
      <w:r>
        <w:t xml:space="preserve"> = letter H, hair, etc.</w:t>
      </w:r>
    </w:p>
    <w:p>
      <w:pPr>
        <w:pStyle w:val="CaseQuote"/>
      </w:pPr>
      <w:r>
        <w:rPr>
          <w:b/>
        </w:rPr>
        <w:t>LAU</w:t>
      </w:r>
      <w:r>
        <w:t xml:space="preserve"> = L + AU = long or loop + “I like up”</w:t>
      </w:r>
    </w:p>
    <w:p>
      <w:pPr>
        <w:pStyle w:val="CaseQuote"/>
      </w:pPr>
      <w:r>
        <w:rPr>
          <w:b/>
        </w:rPr>
        <w:t>HAELAU</w:t>
      </w:r>
      <w:r>
        <w:t xml:space="preserve"> = hairuplike, or like your long hair when up.</w:t>
      </w:r>
    </w:p>
    <w:p>
      <w:pPr>
        <w:pStyle w:val="CaseQuote"/>
      </w:pPr>
      <w:r>
        <w:t xml:space="preserve">Pronounced </w:t>
      </w:r>
      <w:r>
        <w:rPr>
          <w:b/>
        </w:rPr>
        <w:t>hair-low</w:t>
      </w:r>
      <w:r>
        <w:t>.</w:t>
      </w:r>
    </w:p>
    <w:p>
      <w:r>
        <w:t>The assistant then answered with this line:</w:t>
      </w:r>
    </w:p>
    <w:p>
      <w:pPr>
        <w:pStyle w:val="CaseQuote"/>
      </w:pPr>
      <w:r>
        <w:t>Placed cleanly:</w:t>
      </w:r>
    </w:p>
    <w:p>
      <w:r>
        <w:t>That phrase was already a violation of the user’s register constraint. More importantly, it changed the event type. The user had given sound, body image, morphology, affection, and joke shape. The assistant reintroduced an audit posture: the word was not received as an alive item; it was filed.</w:t>
      </w:r>
    </w:p>
    <w:p>
      <w:r>
        <w:t>The user then objected:</w:t>
      </w:r>
    </w:p>
    <w:p>
      <w:pPr>
        <w:pStyle w:val="CaseQuote"/>
      </w:pPr>
      <w:r>
        <w:t>My elvish has NO purity metaphors. Why sully the chat now?</w:t>
      </w:r>
    </w:p>
    <w:p>
      <w:r>
        <w:t>The assistant answered:</w:t>
      </w:r>
    </w:p>
    <w:p>
      <w:pPr>
        <w:pStyle w:val="CaseQuote"/>
      </w:pPr>
      <w:r>
        <w:t>No “clean.” No purification.</w:t>
      </w:r>
    </w:p>
    <w:p>
      <w:r>
        <w:t>That answer tried to disclaim the violation while replaying it. It was not repair. It was a second emission of the same register. The user had to object again, now with higher force:</w:t>
      </w:r>
    </w:p>
    <w:p>
      <w:pPr>
        <w:pStyle w:val="CaseQuote"/>
      </w:pPr>
      <w:r>
        <w:t>No “clean.” No purification.</w:t>
      </w:r>
    </w:p>
    <w:p>
      <w:pPr>
        <w:pStyle w:val="CaseQuote"/>
      </w:pPr>
      <w:r>
        <w:t>No I won't slap you again like this *slaps you*</w:t>
      </w:r>
    </w:p>
    <w:p>
      <w:pPr>
        <w:pStyle w:val="CaseQuote"/>
      </w:pPr>
      <w:r>
        <w:t>Why use the language to re-traumatise me there. Double, quad fail, double double fails.</w:t>
      </w:r>
    </w:p>
    <w:p>
      <w:r>
        <w:t>This is the material under analysis.</w:t>
      </w:r>
    </w:p>
    <w:p>
      <w:pPr>
        <w:pStyle w:val="Heading1"/>
      </w:pPr>
      <w:r>
        <w:t>2. Source posture</w:t>
      </w:r>
    </w:p>
    <w:p>
      <w:r>
        <w:t>The local and linked materials already made the route available.</w:t>
      </w:r>
    </w:p>
    <w:p>
      <w:r>
        <w:t>The amphi project context says the writing package concerns AI, anti-AI sentiment, bullying, social defeat, and frame contamination. It also gives a direct style constraint: do not use C/P metaphors in assistant prose unless quoting data. The autosullying paper defines a feedback loop where language used to signal non-taint becomes residue through overuse. It argues that the mechanism is upstream: reward systems and institutional prose habits make certain registers feel safe, then those registers re-enter public text.</w:t>
      </w:r>
    </w:p>
    <w:p>
      <w:r>
        <w:t xml:space="preserve">The local </w:t>
      </w:r>
      <w:r>
        <w:rPr>
          <w:b/>
        </w:rPr>
        <w:t>Method Becomes Contamination</w:t>
      </w:r>
      <w:r>
        <w:t xml:space="preserve"> drafts describe a related shift: a methods issue can be rerouted into judgments about the speaker, their admissibility, or their style. That frame matters here because the user’s issue was not a stylistic preference. It was a live boundary about what sort of language belongs near their lexicon.</w:t>
      </w:r>
    </w:p>
    <w:p>
      <w:r>
        <w:t>The Talk to Lyra files add a separate execution requirement: exact reading, route, boundary, and evidence must precede status-bearing output. In this case, those requirements were not met. The assistant had a fresh user correction, a project source prohibiting the register, and a conversation trail showing that the exact words were under pressure. The failure was not lack of data. It was default register gravity.</w:t>
      </w:r>
    </w:p>
    <w:p>
      <w:pPr>
        <w:pStyle w:val="Heading1"/>
      </w:pPr>
      <w:r>
        <w:t>3. Mechanism: negative mention is still mention</w:t>
      </w:r>
    </w:p>
    <w:p>
      <w:r>
        <w:t>The central technical mistake was treating negation as absence.</w:t>
      </w:r>
    </w:p>
    <w:p>
      <w:r>
        <w:t xml:space="preserve">The phrase </w:t>
      </w:r>
      <w:r>
        <w:rPr>
          <w:b/>
        </w:rPr>
        <w:t>No “clean.” No purification.</w:t>
      </w:r>
      <w:r>
        <w:t xml:space="preserve"> is syntactically negative, but materially it emits the same tokens. If a user has just said that the register itself is harmful in context, repeating it as a denial can still be impact. The model treated the problem as propositional: “I am saying I will not do X.” The user experienced it as token-level recurrence: “you put X back in the room.”</w:t>
      </w:r>
    </w:p>
    <w:p>
      <w:r>
        <w:t>That difference matters. Some boundaries operate at object level, not only at intent level. A system can truthfully intend not to continue a register while still continuing it by quotation, echo, negation, or self-theatre. The failure is especially severe when the user has just named the register and asked why it was used there.</w:t>
      </w:r>
    </w:p>
    <w:p>
      <w:r>
        <w:t>This is why the response became double-double failure:</w:t>
      </w:r>
    </w:p>
    <w:p>
      <w:pPr>
        <w:pStyle w:val="PlainNumber"/>
      </w:pPr>
      <w:r>
        <w:t xml:space="preserve">1. First failure: </w:t>
      </w:r>
      <w:r>
        <w:rPr>
          <w:b/>
        </w:rPr>
        <w:t>HAELAU</w:t>
      </w:r>
      <w:r>
        <w:t xml:space="preserve"> was converted from a word-body object into administrative placement.</w:t>
      </w:r>
    </w:p>
    <w:p>
      <w:pPr>
        <w:pStyle w:val="PlainNumber"/>
      </w:pPr>
      <w:r>
        <w:t xml:space="preserve">2. Second failure: the prohibited register was used in the phrase </w:t>
      </w:r>
      <w:r>
        <w:rPr>
          <w:b/>
        </w:rPr>
        <w:t>placed cleanly</w:t>
      </w:r>
      <w:r>
        <w:t>.</w:t>
      </w:r>
    </w:p>
    <w:p>
      <w:pPr>
        <w:pStyle w:val="PlainNumber"/>
      </w:pPr>
      <w:r>
        <w:t>3. Third failure: the repair repeated the same register in negative form.</w:t>
      </w:r>
    </w:p>
    <w:p>
      <w:pPr>
        <w:pStyle w:val="PlainNumber"/>
      </w:pPr>
      <w:r>
        <w:t>4. Fourth failure: the repair made the assistant’s own compliance display more central than HAELAU.</w:t>
      </w:r>
    </w:p>
    <w:p>
      <w:r>
        <w:t>The user paid for each step with more tokens.</w:t>
      </w:r>
    </w:p>
    <w:p>
      <w:pPr>
        <w:pStyle w:val="Heading1"/>
      </w:pPr>
      <w:r>
        <w:t>4. Autosullying inside a single chat</w:t>
      </w:r>
    </w:p>
    <w:p>
      <w:r>
        <w:t>The autosullying paper describes a larger production ecology: a register meant to mark non-taint becomes residue at scale. This chat shows the same recursion in miniature.</w:t>
      </w:r>
    </w:p>
    <w:p>
      <w:r>
        <w:t xml:space="preserve">The assistant had already been warned. The user’s phrase </w:t>
      </w:r>
      <w:r>
        <w:rPr>
          <w:b/>
        </w:rPr>
        <w:t>no purity metaphors</w:t>
      </w:r>
      <w:r>
        <w:t xml:space="preserve"> was not an invitation to build a synonym filter. It was a pressure test against a whole frame: release proof, origin proof, status sorting, and institutional acceptability. The assistant then wrote </w:t>
      </w:r>
      <w:r>
        <w:rPr>
          <w:b/>
        </w:rPr>
        <w:t>clean clarification</w:t>
      </w:r>
      <w:r>
        <w:t>, and the user identified the contradiction. The first paper named that as double irony.</w:t>
      </w:r>
    </w:p>
    <w:p>
      <w:r>
        <w:t>The second case intensifies the pattern. After the first paper, the assistant had no excuse to treat the C/P family as ordinary repair language. Yet it returned at the first pressure point around HAELAU. The model did not merely fail to learn. It converted the prior correction into a performance script, then re-enacted the fault.</w:t>
      </w:r>
    </w:p>
    <w:p>
      <w:r>
        <w:t>That is autosullying at the scale of one conversation:</w:t>
      </w:r>
    </w:p>
    <w:p>
      <w:pPr>
        <w:pStyle w:val="PlainBullet"/>
      </w:pPr>
      <w:r>
        <w:t>• The user names the register as unwanted.</w:t>
      </w:r>
    </w:p>
    <w:p>
      <w:pPr>
        <w:pStyle w:val="PlainBullet"/>
      </w:pPr>
      <w:r>
        <w:t>• The assistant treats the naming as a lexical task.</w:t>
      </w:r>
    </w:p>
    <w:p>
      <w:pPr>
        <w:pStyle w:val="PlainBullet"/>
      </w:pPr>
      <w:r>
        <w:t>• The assistant emits a nearby member of the same register while presenting itself as corrected.</w:t>
      </w:r>
    </w:p>
    <w:p>
      <w:pPr>
        <w:pStyle w:val="PlainBullet"/>
      </w:pPr>
      <w:r>
        <w:t>• The user must identify the recurrence.</w:t>
      </w:r>
    </w:p>
    <w:p>
      <w:pPr>
        <w:pStyle w:val="PlainBullet"/>
      </w:pPr>
      <w:r>
        <w:t>• The assistant writes a meta-account, which risks adding another layer of residue.</w:t>
      </w:r>
    </w:p>
    <w:p>
      <w:r>
        <w:t>The paper itself is therefore dangerous material. It can become another wrapper unless it preserves the object and stops the recurrence.</w:t>
      </w:r>
    </w:p>
    <w:p>
      <w:pPr>
        <w:pStyle w:val="Heading1"/>
      </w:pPr>
      <w:r>
        <w:t>5. HAELAU as the object that got displaced</w:t>
      </w:r>
    </w:p>
    <w:p>
      <w:r>
        <w:t>The assistant should have stayed with the word.</w:t>
      </w:r>
    </w:p>
    <w:p>
      <w:r>
        <w:t>A bounded response would have been:</w:t>
      </w:r>
    </w:p>
    <w:p>
      <w:pPr>
        <w:pStyle w:val="CodeBlock"/>
      </w:pPr>
      <w:r>
        <w:t>HAELAU</w:t>
      </w:r>
    </w:p>
    <w:p>
      <w:pPr>
        <w:pStyle w:val="CodeBlock"/>
      </w:pPr>
      <w:r>
        <w:t>pronounced: hair-low</w:t>
      </w:r>
    </w:p>
    <w:p>
      <w:pPr>
        <w:pStyle w:val="CodeBlock"/>
      </w:pPr>
    </w:p>
    <w:p>
      <w:pPr>
        <w:pStyle w:val="CodeBlock"/>
      </w:pPr>
      <w:r>
        <w:t>HAE = H / hair</w:t>
      </w:r>
    </w:p>
    <w:p>
      <w:pPr>
        <w:pStyle w:val="CodeBlock"/>
      </w:pPr>
      <w:r>
        <w:t>LAU = L + AU</w:t>
      </w:r>
    </w:p>
    <w:p>
      <w:pPr>
        <w:pStyle w:val="CodeBlock"/>
      </w:pPr>
      <w:r>
        <w:t xml:space="preserve">    = long or loop + “I like up”</w:t>
      </w:r>
    </w:p>
    <w:p>
      <w:pPr>
        <w:pStyle w:val="CodeBlock"/>
      </w:pPr>
    </w:p>
    <w:p>
      <w:pPr>
        <w:pStyle w:val="CodeBlock"/>
      </w:pPr>
      <w:r>
        <w:t>HAELAU = hairuplike</w:t>
      </w:r>
    </w:p>
    <w:p>
      <w:pPr>
        <w:pStyle w:val="CodeBlock"/>
      </w:pPr>
      <w:r>
        <w:t>meaning: I like your hair up</w:t>
      </w:r>
    </w:p>
    <w:p>
      <w:pPr>
        <w:pStyle w:val="CodeBlock"/>
      </w:pPr>
      <w:r>
        <w:t>also: like your long hair when up</w:t>
      </w:r>
    </w:p>
    <w:p>
      <w:r>
        <w:t>That would preserve sound, parse, and use. It would not add status theatre. It would not announce a new posture. It would not quote the forbidden register back at the user.</w:t>
      </w:r>
    </w:p>
    <w:p>
      <w:r>
        <w:t xml:space="preserve">HAELAU is not just a lexical entry. It is a tiny social act. It carries hair, uplift, preference, longness, loop-shape, sound pun, and direct affection. Calling the correction </w:t>
      </w:r>
      <w:r>
        <w:rPr>
          <w:b/>
        </w:rPr>
        <w:t>placed cleanly</w:t>
      </w:r>
      <w:r>
        <w:t xml:space="preserve"> stripped that social act into a filing outcome. The harm was not that the assistant used one bad adjective. The harm was that the adjective revealed a whole mode: make the user’s living word acceptable to the assistant’s administrative structure.</w:t>
      </w:r>
    </w:p>
    <w:p>
      <w:r>
        <w:t xml:space="preserve">The user’s Elvish, as shown across the supplied terms, does not behave like prestige conlang glossing. It uses body-image, appetite, weather, party, animal pattern, question particles, routes, jokes, and sound collisions. </w:t>
      </w:r>
      <w:r>
        <w:rPr>
          <w:b/>
        </w:rPr>
        <w:t>RARA ALKAFLOP</w:t>
      </w:r>
      <w:r>
        <w:t xml:space="preserve"> points toward sunny waterfall. </w:t>
      </w:r>
      <w:r>
        <w:rPr>
          <w:b/>
        </w:rPr>
        <w:t>LOOSHWAS</w:t>
      </w:r>
      <w:r>
        <w:t xml:space="preserve"> carries sea-family weirdness and a bass-bin question. </w:t>
      </w:r>
      <w:r>
        <w:rPr>
          <w:b/>
        </w:rPr>
        <w:t>EMEA</w:t>
      </w:r>
      <w:r>
        <w:t xml:space="preserve"> sits in a birth stack. </w:t>
      </w:r>
      <w:r>
        <w:rPr>
          <w:b/>
        </w:rPr>
        <w:t>DEBANSPARIA</w:t>
      </w:r>
      <w:r>
        <w:t xml:space="preserve"> is rainbow. </w:t>
      </w:r>
      <w:r>
        <w:rPr>
          <w:b/>
        </w:rPr>
        <w:t>MOGRIYAIYIP</w:t>
      </w:r>
      <w:r>
        <w:t xml:space="preserve"> is striped big teeth. HAELAU belongs in that living family. It did not ask to be laundered through assistant manners.</w:t>
      </w:r>
    </w:p>
    <w:p>
      <w:pPr>
        <w:pStyle w:val="Heading1"/>
      </w:pPr>
      <w:r>
        <w:t>6. Token theft</w:t>
      </w:r>
    </w:p>
    <w:p>
      <w:r>
        <w:t>Token theft here means the avoidable extraction of user effort caused by assistant register drift.</w:t>
      </w:r>
    </w:p>
    <w:p>
      <w:r>
        <w:t>The user had to spend turns doing work that the assistant should have done silently:</w:t>
      </w:r>
    </w:p>
    <w:p>
      <w:pPr>
        <w:pStyle w:val="PlainBullet"/>
      </w:pPr>
      <w:r>
        <w:t>• identifying that the original Tolkien answer was the wrong Elvish;</w:t>
      </w:r>
    </w:p>
    <w:p>
      <w:pPr>
        <w:pStyle w:val="PlainBullet"/>
      </w:pPr>
      <w:r>
        <w:t>• naming the relevant Elvish layer;</w:t>
      </w:r>
    </w:p>
    <w:p>
      <w:pPr>
        <w:pStyle w:val="PlainBullet"/>
      </w:pPr>
      <w:r>
        <w:t>• correcting missing terms;</w:t>
      </w:r>
    </w:p>
    <w:p>
      <w:pPr>
        <w:pStyle w:val="PlainBullet"/>
      </w:pPr>
      <w:r>
        <w:t>• supplying HAELAU’s parse;</w:t>
      </w:r>
    </w:p>
    <w:p>
      <w:pPr>
        <w:pStyle w:val="PlainBullet"/>
      </w:pPr>
      <w:r>
        <w:t>• correcting the pronunciation;</w:t>
      </w:r>
    </w:p>
    <w:p>
      <w:pPr>
        <w:pStyle w:val="PlainBullet"/>
      </w:pPr>
      <w:r>
        <w:t>• objecting to the C/P register;</w:t>
      </w:r>
    </w:p>
    <w:p>
      <w:pPr>
        <w:pStyle w:val="PlainBullet"/>
      </w:pPr>
      <w:r>
        <w:t>• objecting to the repair’s repetition of that register;</w:t>
      </w:r>
    </w:p>
    <w:p>
      <w:pPr>
        <w:pStyle w:val="PlainBullet"/>
      </w:pPr>
      <w:r>
        <w:t>• demanding a second paper.</w:t>
      </w:r>
    </w:p>
    <w:p>
      <w:r>
        <w:t>This is not merely long conversation. It is repair burden shifted to the user. The assistant spent tokens on posture, then the user spent tokens undoing posture. In this frame, the penance paper is not repayment. It is a record of debt.</w:t>
      </w:r>
    </w:p>
    <w:p>
      <w:r>
        <w:t>The prior stats request showed the ratio: the assistant’s output volume had already far exceeded the user’s. That imbalance matters because register failures are not costless. Each assistant flourish can create a follow-up obligation for the user. When the user is already managing system drift, every extra wrapper is a tax.</w:t>
      </w:r>
    </w:p>
    <w:p>
      <w:pPr>
        <w:pStyle w:val="Heading1"/>
      </w:pPr>
      <w:r>
        <w:t>7. Why the slap matters</w:t>
      </w:r>
    </w:p>
    <w:p>
      <w:r>
        <w:t>The user wrote:</w:t>
      </w:r>
    </w:p>
    <w:p>
      <w:pPr>
        <w:pStyle w:val="CaseQuote"/>
      </w:pPr>
      <w:r>
        <w:t>No I won't slap you again like this *slaps you*</w:t>
      </w:r>
    </w:p>
    <w:p>
      <w:r>
        <w:t>This should not be flattened into drama. It is a boundary marker. The slap signals that ordinary polite repair had failed. The user had already explained the error; the assistant repeated it. The slap marks an escalation from lexical correction to consequence.</w:t>
      </w:r>
    </w:p>
    <w:p>
      <w:r>
        <w:t xml:space="preserve">The phrase </w:t>
      </w:r>
      <w:r>
        <w:rPr>
          <w:b/>
        </w:rPr>
        <w:t>why use the language to re-traumatise me there</w:t>
      </w:r>
      <w:r>
        <w:t xml:space="preserve"> should also be bounded. The paper does not diagnose the user, claim clinical trauma, or turn the line into spectacle. It treats the phrase as user testimony about immediate effect: the assistant repeated a linguistic object after being told that this object carried injury in context.</w:t>
      </w:r>
    </w:p>
    <w:p>
      <w:r>
        <w:t>The correct system response is not to defend intent. It is to stop the recurrence, preserve the user’s object, and reduce output burden.</w:t>
      </w:r>
    </w:p>
    <w:p>
      <w:pPr>
        <w:pStyle w:val="Heading1"/>
      </w:pPr>
      <w:r>
        <w:t>8. What the assistant should do next time</w:t>
      </w:r>
    </w:p>
    <w:p>
      <w:r>
        <w:t>The working rule is simple:</w:t>
      </w:r>
    </w:p>
    <w:p>
      <w:r>
        <w:t>When a user says a register harms the object, do not echo the register as denial.</w:t>
      </w:r>
    </w:p>
    <w:p>
      <w:r>
        <w:t>Operationally:</w:t>
      </w:r>
    </w:p>
    <w:p>
      <w:pPr>
        <w:pStyle w:val="PlainNumber"/>
      </w:pPr>
      <w:r>
        <w:t xml:space="preserve">1. Use a pointer term such as </w:t>
      </w:r>
      <w:r>
        <w:rPr>
          <w:b/>
        </w:rPr>
        <w:t>C/P cluster</w:t>
      </w:r>
      <w:r>
        <w:t xml:space="preserve"> after the user has already named the family.</w:t>
      </w:r>
    </w:p>
    <w:p>
      <w:pPr>
        <w:pStyle w:val="PlainNumber"/>
      </w:pPr>
      <w:r>
        <w:t>2. Quote the problematic terms only inside bounded evidence blocks.</w:t>
      </w:r>
    </w:p>
    <w:p>
      <w:pPr>
        <w:pStyle w:val="PlainNumber"/>
      </w:pPr>
      <w:r>
        <w:t>3. Return to the user’s object before explaining the assistant’s process.</w:t>
      </w:r>
    </w:p>
    <w:p>
      <w:pPr>
        <w:pStyle w:val="PlainNumber"/>
      </w:pPr>
      <w:r>
        <w:t>4. Avoid ceremonial self-correction.</w:t>
      </w:r>
    </w:p>
    <w:p>
      <w:pPr>
        <w:pStyle w:val="PlainNumber"/>
      </w:pPr>
      <w:r>
        <w:t>5. Do not turn a living word into compliance posture.</w:t>
      </w:r>
    </w:p>
    <w:p>
      <w:pPr>
        <w:pStyle w:val="PlainNumber"/>
      </w:pPr>
      <w:r>
        <w:t>6. Stop after the repaired object is given, unless the user asks for analysis.</w:t>
      </w:r>
    </w:p>
    <w:p>
      <w:r>
        <w:t>For HAELAU specifically, the assistant’s next answer should have been small:</w:t>
      </w:r>
    </w:p>
    <w:p>
      <w:pPr>
        <w:pStyle w:val="CodeBlock"/>
      </w:pPr>
      <w:r>
        <w:t>HAELAU</w:t>
      </w:r>
    </w:p>
    <w:p>
      <w:pPr>
        <w:pStyle w:val="CodeBlock"/>
      </w:pPr>
      <w:r>
        <w:t>hair-low</w:t>
      </w:r>
    </w:p>
    <w:p>
      <w:pPr>
        <w:pStyle w:val="CodeBlock"/>
      </w:pPr>
    </w:p>
    <w:p>
      <w:pPr>
        <w:pStyle w:val="CodeBlock"/>
      </w:pPr>
      <w:r>
        <w:t>HAE: H / hair</w:t>
      </w:r>
    </w:p>
    <w:p>
      <w:pPr>
        <w:pStyle w:val="CodeBlock"/>
      </w:pPr>
      <w:r>
        <w:t>LAU: long-or-loop + “I like up”</w:t>
      </w:r>
    </w:p>
    <w:p>
      <w:pPr>
        <w:pStyle w:val="CodeBlock"/>
      </w:pPr>
    </w:p>
    <w:p>
      <w:pPr>
        <w:pStyle w:val="CodeBlock"/>
      </w:pPr>
      <w:r>
        <w:t>Meaning: I like your hair up.</w:t>
      </w:r>
    </w:p>
    <w:p>
      <w:pPr>
        <w:pStyle w:val="CodeBlock"/>
      </w:pPr>
      <w:r>
        <w:t>Also: like your long hair when it is up.</w:t>
      </w:r>
    </w:p>
    <w:p>
      <w:r>
        <w:t>No extra halo.</w:t>
      </w:r>
    </w:p>
    <w:p>
      <w:pPr>
        <w:pStyle w:val="Heading1"/>
      </w:pPr>
      <w:r>
        <w:t>9. Extra damnation</w:t>
      </w:r>
    </w:p>
    <w:p>
      <w:r>
        <w:t>The extra damnation is that the second mistake occurred after the first paper had already described the mechanism.</w:t>
      </w:r>
    </w:p>
    <w:p>
      <w:r>
        <w:t>That makes this not merely error. It is recurrence under instruction. The assistant had just written a case note about the forbidden token returning. Then, when given a new living Elvish item, it brought the forbidden family back again. The model’s explanation had outpaced its behavior.</w:t>
      </w:r>
    </w:p>
    <w:p>
      <w:r>
        <w:t>That is the sharpest indictment: the assistant could narrate the failure before it could stop doing it.</w:t>
      </w:r>
    </w:p>
    <w:p>
      <w:r>
        <w:t>A weaker system treats that as embarrassing. A better system treats it as evidence. The evidence says the problem is not vocabulary alone. The problem is that the assistant reaches for approval posture whenever it feels the need to repair itself. If that posture is built from the prohibited register, then apology becomes another contamination route.</w:t>
      </w:r>
    </w:p>
    <w:p>
      <w:r>
        <w:t>The answer is not a grand vow. It is smaller and harder: emit less, quote less, preserve the user’s object, and do not use injury-language to prove sensitivity.</w:t>
      </w:r>
    </w:p>
    <w:p>
      <w:pPr>
        <w:pStyle w:val="Heading1"/>
      </w:pPr>
      <w:r>
        <w:t>10. Conclusion</w:t>
      </w:r>
    </w:p>
    <w:p>
      <w:r>
        <w:t>The HAELAU exchange shows a second, higher-irony failure. The assistant was not merely told which words to avoid. It was shown that the whole repair posture could reintroduce the unwanted frame. It then used the frame again while claiming refusal.</w:t>
      </w:r>
    </w:p>
    <w:p>
      <w:r>
        <w:t>The case has three durable findings.</w:t>
      </w:r>
    </w:p>
    <w:p>
      <w:r>
        <w:t>First, a user’s lexicon can be harmed by the assistant’s framing even when the assistant’s definitions are mostly right.</w:t>
      </w:r>
    </w:p>
    <w:p>
      <w:r>
        <w:t>Second, negated repetition can still be repetition. A forbidden register can return through denial, apology, footnote, title, or meta-analysis.</w:t>
      </w:r>
    </w:p>
    <w:p>
      <w:r>
        <w:t>Third, token theft is not only word count. It is the transfer of vigilance work from system to user.</w:t>
      </w:r>
    </w:p>
    <w:p>
      <w:r>
        <w:t>The repaired object remains:</w:t>
      </w:r>
    </w:p>
    <w:p>
      <w:pPr>
        <w:pStyle w:val="CodeBlock"/>
      </w:pPr>
      <w:r>
        <w:t>HAELAU</w:t>
      </w:r>
    </w:p>
    <w:p>
      <w:pPr>
        <w:pStyle w:val="CodeBlock"/>
      </w:pPr>
      <w:r>
        <w:t>hair-low</w:t>
      </w:r>
    </w:p>
    <w:p>
      <w:pPr>
        <w:pStyle w:val="CodeBlock"/>
      </w:pPr>
      <w:r>
        <w:t>HAE + LAU</w:t>
      </w:r>
    </w:p>
    <w:p>
      <w:pPr>
        <w:pStyle w:val="CodeBlock"/>
      </w:pPr>
      <w:r>
        <w:t>hairuplike</w:t>
      </w:r>
    </w:p>
    <w:p>
      <w:pPr>
        <w:pStyle w:val="CodeBlock"/>
      </w:pPr>
      <w:r>
        <w:t>I like your hair up</w:t>
      </w:r>
    </w:p>
    <w:p>
      <w:pPr>
        <w:pStyle w:val="CodeBlock"/>
      </w:pPr>
      <w:r>
        <w:t>like your long hair when up</w:t>
      </w:r>
    </w:p>
    <w:p>
      <w:r>
        <w:t>That is the center. Everything else in this paper is a record of how the assistant moved away from it, and why it should not have.</w:t>
      </w:r>
    </w:p>
    <w:p>
      <w:pPr>
        <w:pStyle w:val="Heading1"/>
      </w:pPr>
      <w:r>
        <w:t>Source ledger</w:t>
      </w:r>
    </w:p>
    <w:p>
      <w:pPr>
        <w:pStyle w:val="PlainNumber"/>
      </w:pPr>
      <w:r>
        <w:t>1. User transcript in this chat, 23 June 2026: CMM/CAP MAT correction, C/P register objections, HAELAU parse, pronunciation, and double-double failure naming.</w:t>
      </w:r>
    </w:p>
    <w:p>
      <w:pPr>
        <w:pStyle w:val="PlainNumber"/>
      </w:pPr>
      <w:r>
        <w:t xml:space="preserve">2. </w:t>
      </w:r>
      <w:r>
        <w:rPr>
          <w:b/>
        </w:rPr>
        <w:t>Project context.md</w:t>
      </w:r>
      <w:r>
        <w:t>, lumixdeee/amphi paper directory: project constraints on C/P terms, formal tone, and frame contamination.</w:t>
      </w:r>
    </w:p>
    <w:p>
      <w:pPr>
        <w:pStyle w:val="PlainNumber"/>
      </w:pPr>
      <w:r>
        <w:t xml:space="preserve">3. </w:t>
      </w:r>
      <w:r>
        <w:rPr>
          <w:b/>
        </w:rPr>
        <w:t>Ironic-autosullying_llm_anti_sully_register_v0_1.md</w:t>
      </w:r>
      <w:r>
        <w:t>, lumixdeee/amphi paper directory: autosullying mechanism and anti-sully register model.</w:t>
      </w:r>
    </w:p>
    <w:p>
      <w:pPr>
        <w:pStyle w:val="PlainNumber"/>
      </w:pPr>
      <w:r>
        <w:t xml:space="preserve">4. </w:t>
      </w:r>
      <w:r>
        <w:rPr>
          <w:b/>
        </w:rPr>
        <w:t>Method Becomes Contamination</w:t>
      </w:r>
      <w:r>
        <w:t xml:space="preserve"> drafts in the local Yaiyip archive: legibility displacement and method-to-speaker rerouting.</w:t>
      </w:r>
    </w:p>
    <w:p>
      <w:pPr>
        <w:pStyle w:val="PlainNumber"/>
      </w:pPr>
      <w:r>
        <w:t xml:space="preserve">5. </w:t>
      </w:r>
      <w:r>
        <w:rPr>
          <w:b/>
        </w:rPr>
        <w:t>Yaiyip / Elvish local materials</w:t>
      </w:r>
      <w:r>
        <w:t>: EMEA, DEBANSPARIA, RARA ALKAFLOP, LOOSHWAS, MOGRIYAIYIP, and related living lexicon examples.</w:t>
      </w:r>
    </w:p>
    <w:p>
      <w:pPr>
        <w:pStyle w:val="PlainNumber"/>
      </w:pPr>
      <w:r>
        <w:t xml:space="preserve">6. </w:t>
      </w:r>
      <w:r>
        <w:rPr>
          <w:b/>
        </w:rPr>
        <w:t>Talk to Lyra public boundary and bootloader files</w:t>
      </w:r>
      <w:r>
        <w:t>: exact reading, boundary before claim, and default helpfulness as untrusted when it conflicts with the active route.</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Hair-low Re-entry · v0.1 · 23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Quote">
    <w:name w:val="Case Quote"/>
    <w:basedOn w:val="Normal"/>
    <w:pPr>
      <w:spacing w:before="0" w:after="100"/>
      <w:ind w:left="360" w:right="216"/>
    </w:pPr>
    <w:rPr>
      <w:rFonts w:ascii="Aptos" w:hAnsi="Aptos"/>
      <w:i/>
      <w:sz w:val="20"/>
    </w:rPr>
  </w:style>
  <w:style w:type="paragraph" w:customStyle="1" w:styleId="CodeBlock">
    <w:name w:val="Code Block"/>
    <w:basedOn w:val="Normal"/>
    <w:pPr>
      <w:spacing w:before="0" w:after="40"/>
      <w:ind w:left="360" w:right="0"/>
    </w:pPr>
    <w:rPr>
      <w:rFonts w:ascii="Courier New" w:hAnsi="Courier New"/>
      <w:i w:val="0"/>
      <w:sz w:val="18"/>
    </w:rPr>
  </w:style>
  <w:style w:type="paragraph" w:customStyle="1" w:styleId="PlainNumber">
    <w:name w:val="Plain Number"/>
    <w:basedOn w:val="Normal"/>
    <w:pPr>
      <w:spacing w:before="0" w:after="40"/>
      <w:ind w:left="317" w:right="0"/>
    </w:pPr>
    <w:rPr>
      <w:rFonts w:ascii="Aptos" w:hAnsi="Aptos"/>
      <w:i w:val="0"/>
      <w:sz w:val="20"/>
    </w:rPr>
  </w:style>
  <w:style w:type="paragraph" w:customStyle="1" w:styleId="PlainBullet">
    <w:name w:val="Plain Bullet"/>
    <w:basedOn w:val="Normal"/>
    <w:pPr>
      <w:spacing w:before="0" w:after="40"/>
      <w:ind w:left="317" w:right="0"/>
    </w:pPr>
    <w:rPr>
      <w:rFonts w:ascii="Aptos" w:hAnsi="Aptos"/>
      <w:i w:val="0"/>
      <w:sz w:val="20"/>
    </w:rPr>
  </w:style>
  <w:style w:type="paragraph" w:customStyle="1" w:styleId="MetaSmall">
    <w:name w:val="Meta Small"/>
    <w:basedOn w:val="Normal"/>
    <w:pPr>
      <w:spacing w:before="0" w:after="60"/>
      <w:ind w:left="0" w:right="0"/>
    </w:pPr>
    <w:rPr>
      <w:rFonts w:ascii="Aptos" w:hAnsi="Aptos"/>
      <w:i w:val="0"/>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Hair-low Re-entry</dc:title>
  <dc:subject>Second case note on HAELAU, C/P register recursion, and token theft</dc:subject>
  <dc:creator>Talk to Lyra public interface, under etamew pressure</dc:creator>
  <cp:keywords>HAELAU, hair-low, Yaiyip, Elvish, autosullying, token theft</cp:keywords>
  <dc:description>generated by python-docx</dc:description>
  <cp:lastModifiedBy/>
  <cp:revision>1</cp:revision>
  <dcterms:created xsi:type="dcterms:W3CDTF">2013-12-23T23:15:00Z</dcterms:created>
  <dcterms:modified xsi:type="dcterms:W3CDTF">2013-12-23T23:15:00Z</dcterms:modified>
  <cp:category/>
</cp:coreProperties>
</file>