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Казакова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bookmarkEnd w:id="20"/>
    <w:bookmarkStart w:id="49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Вошла в систему с полученными учётными данными и убедилась, что SELinux работает в режиме enforcing политики targeted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4245885" cy="2308380"/>
            <wp:effectExtent b="0" l="0" r="0" t="0"/>
            <wp:docPr descr="Figure 1: Конфигурация SELinux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230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Конфигурация SELinux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Обратилась с помощью браузера к веб-серверу, запущенному на моем компьютере, и убедилась, что он работает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3625337"/>
            <wp:effectExtent b="0" l="0" r="0" t="0"/>
            <wp:docPr descr="Figure 2: Обращение к веб-серверу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Обращение к веб-серверу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Нашла веб-сервер Apache в списке процессов, определила его контекст безопасности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1092269"/>
            <wp:effectExtent b="0" l="0" r="0" t="0"/>
            <wp:docPr descr="Figure 3: Контекст безопасности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Контекст безопасности веб-сервера Apache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Посмотрела текущее состояние переключателей SELinux для Apache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4552816" cy="6336855"/>
            <wp:effectExtent b="0" l="0" r="0" t="0"/>
            <wp:docPr descr="Figure 4: Текущее состояние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16" cy="633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Текущее состояние переключателей SELinux для Apache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Посмотрела статистику по политике с помощью команды seinfo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4648732" cy="3190808"/>
            <wp:effectExtent b="0" l="0" r="0" t="0"/>
            <wp:docPr descr="Figure 5: 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319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Статистика по политике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Определила тип файлов и поддиректорий, находящихся в директории /var/www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579648"/>
            <wp:effectExtent b="0" l="0" r="0" t="0"/>
            <wp:docPr descr="Figure 6: Тип файлов и поддиректорий, находящихся в директории /var/www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Тип файлов и поддиректорий, находящихся в директории /var/www</w:t>
      </w:r>
    </w:p>
    <w:bookmarkEnd w:id="0"/>
    <w:p>
      <w:pPr>
        <w:numPr>
          <w:ilvl w:val="0"/>
          <w:numId w:val="1007"/>
        </w:numPr>
      </w:pPr>
      <w:r>
        <w:t xml:space="preserve">Определила тип файлов, находящихся в директории /var/www/html.</w:t>
      </w:r>
    </w:p>
    <w:p>
      <w:pPr>
        <w:numPr>
          <w:ilvl w:val="0"/>
          <w:numId w:val="1007"/>
        </w:numPr>
      </w:pPr>
      <w:r>
        <w:t xml:space="preserve">Определила круг пользователей, которым разрешено создание файлов в директории /var/www/html.</w:t>
      </w:r>
    </w:p>
    <w:p>
      <w:pPr>
        <w:numPr>
          <w:ilvl w:val="0"/>
          <w:numId w:val="1007"/>
        </w:numPr>
      </w:pPr>
      <w:r>
        <w:t xml:space="preserve">Создала от имени суперпользователя html-файл /var/www/html/test.html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4552816" cy="345297"/>
            <wp:effectExtent b="0" l="0" r="0" t="0"/>
            <wp:docPr descr="Figure 7: Созда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16" cy="3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Создание файла /var/www/html/test.html</w:t>
      </w:r>
    </w:p>
    <w:bookmarkEnd w:id="0"/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1137435"/>
            <wp:effectExtent b="0" l="0" r="0" t="0"/>
            <wp:docPr descr="Figure 8: Созда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Создание файла /var/www/html/test.html</w:t>
      </w:r>
    </w:p>
    <w:bookmarkEnd w:id="0"/>
    <w:p>
      <w:pPr>
        <w:numPr>
          <w:ilvl w:val="0"/>
          <w:numId w:val="1008"/>
        </w:numPr>
      </w:pPr>
      <w:r>
        <w:t xml:space="preserve">Проверила контекст созданного файла (рис. ??)</w:t>
      </w:r>
      <w:r>
        <w:t xml:space="preserve"> </w:t>
      </w:r>
      <w:bookmarkStart w:id="38" w:name="fig:009"/>
      <w:r>
        <w:drawing>
          <wp:inline>
            <wp:extent cx="5334000" cy="416163"/>
            <wp:effectExtent b="0" l="0" r="0" t="0"/>
            <wp:docPr descr="Работа с параметрами readfil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r>
        <w:t xml:space="preserve">По умолчанию присваивается контекст unconfined_u:object_r:httpd_sys_content_t:s0</w:t>
      </w:r>
    </w:p>
    <w:p>
      <w:pPr>
        <w:numPr>
          <w:ilvl w:val="0"/>
          <w:numId w:val="1008"/>
        </w:numPr>
      </w:pPr>
      <w:r>
        <w:t xml:space="preserve">Обратилась к файлу через веб-сервер, введя в браузере адрес http://127.0.0.1/test.html. Убедилась, что файл был успешно отображён (рис.</w:t>
      </w:r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4706282" cy="1387586"/>
            <wp:effectExtent b="0" l="0" r="0" t="0"/>
            <wp:docPr descr="Figure 9: Файл test.html в браузер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82" cy="138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Файл test.html в браузере</w:t>
      </w:r>
    </w:p>
    <w:bookmarkEnd w:id="0"/>
    <w:p>
      <w:pPr>
        <w:numPr>
          <w:ilvl w:val="0"/>
          <w:numId w:val="1009"/>
        </w:numPr>
      </w:pPr>
      <w:r>
        <w:t xml:space="preserve">Изучила справку man httpd_selinux и выяснила, какие контексты файлов определены для httpd. Сопоставим их с типом файла test.html.</w:t>
      </w:r>
    </w:p>
    <w:p>
      <w:pPr>
        <w:numPr>
          <w:ilvl w:val="0"/>
          <w:numId w:val="1009"/>
        </w:numPr>
      </w:pPr>
      <w:r>
        <w:t xml:space="preserve">Изменила контекст файла /var/www/html/test.html с httpd_sys_content_t на samba_share_t (рис.</w:t>
      </w:r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514823"/>
            <wp:effectExtent b="0" l="0" r="0" t="0"/>
            <wp:docPr descr="Figure 10: Измен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Изменение контекста</w:t>
      </w:r>
    </w:p>
    <w:bookmarkEnd w:id="0"/>
    <w:p>
      <w:pPr>
        <w:numPr>
          <w:ilvl w:val="0"/>
          <w:numId w:val="1010"/>
        </w:numPr>
      </w:pPr>
      <w:r>
        <w:t xml:space="preserve">Попробовала ещё раз получить доступ к файлу через веб-сервер. В ответ получила запись Forbidden. You don’t have permission to access /test.html on this server.</w:t>
      </w:r>
    </w:p>
    <w:p>
      <w:pPr>
        <w:numPr>
          <w:ilvl w:val="0"/>
          <w:numId w:val="1010"/>
        </w:numPr>
      </w:pPr>
      <w:r>
        <w:t xml:space="preserve">Просмотрела log-файлы веб-сервера Apache и системный лог-файл (рис. ??).</w:t>
      </w:r>
    </w:p>
    <w:p>
      <w:pPr>
        <w:pStyle w:val="FirstParagraph"/>
      </w:pPr>
      <w:bookmarkStart w:id="44" w:name="fig:012"/>
      <w:r>
        <w:drawing>
          <wp:inline>
            <wp:extent cx="5334000" cy="1697990"/>
            <wp:effectExtent b="0" l="0" r="0" t="0"/>
            <wp:docPr descr="Содержимое лог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Мне не удалось получить доступ к файлу из-за измененного контекста.</w:t>
      </w:r>
    </w:p>
    <w:p>
      <w:pPr>
        <w:numPr>
          <w:ilvl w:val="0"/>
          <w:numId w:val="1011"/>
        </w:numPr>
      </w:pPr>
      <w:r>
        <w:t xml:space="preserve">Выполнила перезапуск веб-сервера. Сбоя не произошло.</w:t>
      </w:r>
    </w:p>
    <w:p>
      <w:pPr>
        <w:numPr>
          <w:ilvl w:val="0"/>
          <w:numId w:val="1011"/>
        </w:numPr>
      </w:pPr>
      <w:r>
        <w:t xml:space="preserve">Проанализировала лог-файлы.</w:t>
      </w:r>
    </w:p>
    <w:p>
      <w:pPr>
        <w:numPr>
          <w:ilvl w:val="0"/>
          <w:numId w:val="1011"/>
        </w:numPr>
      </w:pPr>
      <w:r>
        <w:t xml:space="preserve">Выполнила команду semanage port -a -t http_port_t -р tcp 81. После этого проверила список портов командой semanage port -l | grep http_port_t (рис.</w:t>
      </w:r>
      <w:r>
        <w:t xml:space="preserve"> </w:t>
      </w:r>
      <w:hyperlink w:anchor="fig:013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1487874"/>
            <wp:effectExtent b="0" l="0" r="0" t="0"/>
            <wp:docPr descr="Figure 11: Попытка добавления порта 81 в список и вывод списка допустимых порт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11: Попытка добавления порта 81 в список и вывод списка допустимых портов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Попробовала удалить привязку http_port_t к 81. Удаление невозможно. Удалила файл /var/www/html/test.html (рис.</w:t>
      </w:r>
      <w:r>
        <w:t xml:space="preserve"> </w:t>
      </w:r>
      <w:hyperlink w:anchor="fig:014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666000"/>
            <wp:effectExtent b="0" l="0" r="0" t="0"/>
            <wp:docPr descr="Figure 12: Попытка удаления привязки к порту 81. Удале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12: Попытка удаления привязки к порту 81. Удаление файла /var/www/html/test.html</w:t>
      </w:r>
    </w:p>
    <w:bookmarkEnd w:id="0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данной лабораторной работы были развиты навыки администрирования ОС Linux. Получено первое практическое знакомство с технологией SELinux1. Проверена работа SELinx на практике совместно с веб-сервером Apache.</w:t>
      </w:r>
    </w:p>
    <w:bookmarkEnd w:id="50"/>
    <w:bookmarkStart w:id="51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[1][Методический материал] [https://esystem.rudn.ru/pluginfile.php/2090279/mod_resource/content/2/005-lab_discret_sticky.pdf]</w:t>
      </w:r>
      <w:r>
        <w:t xml:space="preserve"> </w:t>
      </w:r>
      <w:r>
        <w:t xml:space="preserve">[2][Методический материал] [https://esystem.rudn.ru/pluginfile.php/2090282/mod_resource/content/2/006-lab_selinux.pdf]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1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2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Казакова Виктория Алексеевна</dc:creator>
  <dc:language>ru-RU</dc:language>
  <cp:keywords/>
  <dcterms:created xsi:type="dcterms:W3CDTF">2023-10-14T13:15:53Z</dcterms:created>
  <dcterms:modified xsi:type="dcterms:W3CDTF">2023-10-14T13:15:53Z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