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全市城镇建设用地基准地价 (1)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土地级别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