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6E7E" w14:textId="00A7D464" w:rsidR="004A1893" w:rsidRPr="00422704" w:rsidRDefault="00403A3F" w:rsidP="0015396C">
      <w:pPr>
        <w:ind w:left="1416"/>
        <w:rPr>
          <w:b/>
          <w:bCs/>
        </w:rPr>
      </w:pPr>
      <w:r w:rsidRPr="006166A2">
        <w:rPr>
          <w:b/>
          <w:bCs/>
          <w:noProof/>
          <w:u w:val="single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1B6BBD3B" wp14:editId="061B1E0F">
                <wp:simplePos x="0" y="0"/>
                <wp:positionH relativeFrom="margin">
                  <wp:posOffset>-839470</wp:posOffset>
                </wp:positionH>
                <wp:positionV relativeFrom="margin">
                  <wp:posOffset>-848995</wp:posOffset>
                </wp:positionV>
                <wp:extent cx="1593218" cy="1570355"/>
                <wp:effectExtent l="0" t="7620" r="0" b="0"/>
                <wp:wrapNone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93218" cy="15703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0D0943D" w14:textId="59C28363" w:rsidR="004E48BC" w:rsidRPr="00403A3F" w:rsidRDefault="00403A3F" w:rsidP="004E48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3A3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UNamur </w:t>
                            </w:r>
                            <w:r w:rsidR="00CE3DC9" w:rsidRPr="00403A3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INFO B212</w:t>
                            </w:r>
                            <w:r w:rsidRPr="00403A3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2021-22</w:t>
                            </w:r>
                            <w:r w:rsidRPr="00403A3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4E48BC" w:rsidRPr="00403A3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Groupe</w:t>
                            </w:r>
                            <w:r w:rsidR="00CE3DC9" w:rsidRPr="00403A3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10:</w:t>
                            </w:r>
                            <w:r w:rsidR="00CE3DC9" w:rsidRPr="00403A3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BF2731" w:rsidRPr="00403A3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Anoushka Luna-Barragan</w:t>
                            </w:r>
                            <w:r w:rsidR="00405D35" w:rsidRPr="00403A3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  <w:t>Nicolas BALTOFSKI</w:t>
                            </w:r>
                            <w:r w:rsidR="004E48BC" w:rsidRPr="00403A3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  <w:t>Dzenetan ALITI</w:t>
                            </w:r>
                            <w:r w:rsidR="004E48BC" w:rsidRPr="00403A3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  <w:t>Georges HOEBRECHTS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BBD3B" id="Forme automatique 2" o:spid="_x0000_s1026" style="position:absolute;left:0;text-align:left;margin-left:-66.1pt;margin-top:-66.85pt;width:125.45pt;height:123.65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" o:allowincell="f" fillcolor="#4472c4 [3204]" stroked="f">
                <v:textbox>
                  <w:txbxContent>
                    <w:p w14:paraId="10D0943D" w14:textId="59C28363" w:rsidR="004E48BC" w:rsidRPr="00403A3F" w:rsidRDefault="00403A3F" w:rsidP="004E48B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403A3F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UNamur </w:t>
                      </w:r>
                      <w:r w:rsidR="00CE3DC9" w:rsidRPr="00403A3F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INFO B212</w:t>
                      </w:r>
                      <w:r w:rsidRPr="00403A3F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2021-22</w:t>
                      </w:r>
                      <w:r w:rsidRPr="00403A3F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</w:r>
                      <w:r w:rsidR="004E48BC" w:rsidRPr="00403A3F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Groupe</w:t>
                      </w:r>
                      <w:r w:rsidR="00CE3DC9" w:rsidRPr="00403A3F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10:</w:t>
                      </w:r>
                      <w:r w:rsidR="00CE3DC9" w:rsidRPr="00403A3F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</w:r>
                      <w:r w:rsidR="00BF2731" w:rsidRPr="00403A3F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Anoushka Luna-Barragan</w:t>
                      </w:r>
                      <w:r w:rsidR="00405D35" w:rsidRPr="00403A3F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  <w:t>Nicolas BALTOFSKI</w:t>
                      </w:r>
                      <w:r w:rsidR="004E48BC" w:rsidRPr="00403A3F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  <w:t>Dzenetan ALITI</w:t>
                      </w:r>
                      <w:r w:rsidR="004E48BC" w:rsidRPr="00403A3F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  <w:t>Georges HOEBRECHTS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D3164" w:rsidRPr="006E6399">
        <w:rPr>
          <w:b/>
          <w:bCs/>
          <w:u w:val="single"/>
        </w:rPr>
        <w:t>Interview</w:t>
      </w:r>
      <w:r w:rsidR="004A1893" w:rsidRPr="006E6399">
        <w:rPr>
          <w:b/>
          <w:bCs/>
          <w:u w:val="single"/>
        </w:rPr>
        <w:t xml:space="preserve"> pour :</w:t>
      </w:r>
      <w:r w:rsidR="006E6399" w:rsidRPr="006E6399">
        <w:rPr>
          <w:b/>
          <w:bCs/>
        </w:rPr>
        <w:t xml:space="preserve"> Mex&amp;Go SRL    </w:t>
      </w:r>
      <w:r w:rsidR="006E6399" w:rsidRPr="006E6399">
        <w:rPr>
          <w:b/>
          <w:bCs/>
        </w:rPr>
        <w:br/>
      </w:r>
      <w:r w:rsidR="006E6399" w:rsidRPr="006E6399">
        <w:t>15 rue Basse Marcelle 5000 NAMUR</w:t>
      </w:r>
      <w:r w:rsidR="006E6399" w:rsidRPr="006E6399">
        <w:br/>
        <w:t>BE0633965571</w:t>
      </w:r>
    </w:p>
    <w:p w14:paraId="2B830584" w14:textId="2B6A2F6C" w:rsidR="000C5A9B" w:rsidRPr="00367145" w:rsidRDefault="009A0242" w:rsidP="00467306">
      <w:pPr>
        <w:jc w:val="both"/>
        <w:rPr>
          <w:b/>
          <w:bCs/>
          <w:sz w:val="32"/>
          <w:szCs w:val="32"/>
          <w:u w:val="single"/>
          <w:lang w:val="fr-FR"/>
        </w:rPr>
      </w:pPr>
      <w:r w:rsidRPr="00367145">
        <w:rPr>
          <w:b/>
          <w:bCs/>
          <w:sz w:val="32"/>
          <w:szCs w:val="32"/>
          <w:u w:val="single"/>
          <w:lang w:val="fr-FR"/>
        </w:rPr>
        <w:t>Retranscription du discours du client :</w:t>
      </w:r>
    </w:p>
    <w:p w14:paraId="436C54B5" w14:textId="1303D40F" w:rsidR="000C5A9B" w:rsidRPr="007120D5" w:rsidRDefault="00F17486" w:rsidP="00467306">
      <w:pPr>
        <w:jc w:val="both"/>
        <w:rPr>
          <w:i/>
          <w:iCs/>
          <w:sz w:val="28"/>
          <w:szCs w:val="28"/>
          <w:u w:val="single"/>
          <w:lang w:val="fr-FR"/>
        </w:rPr>
      </w:pPr>
      <w:r w:rsidRPr="007120D5">
        <w:rPr>
          <w:i/>
          <w:iCs/>
          <w:sz w:val="28"/>
          <w:szCs w:val="28"/>
          <w:u w:val="single"/>
          <w:lang w:val="fr-FR"/>
        </w:rPr>
        <w:t>Contexte</w:t>
      </w:r>
      <w:r w:rsidR="000C5A9B" w:rsidRPr="007120D5">
        <w:rPr>
          <w:i/>
          <w:iCs/>
          <w:sz w:val="28"/>
          <w:szCs w:val="28"/>
          <w:u w:val="single"/>
          <w:lang w:val="fr-FR"/>
        </w:rPr>
        <w:t> :</w:t>
      </w:r>
    </w:p>
    <w:p w14:paraId="3750B1B5" w14:textId="36FC1B15" w:rsidR="009A0242" w:rsidRPr="000C5A9B" w:rsidRDefault="009A0242" w:rsidP="00467306">
      <w:pPr>
        <w:jc w:val="both"/>
        <w:rPr>
          <w:b/>
          <w:bCs/>
          <w:u w:val="single"/>
          <w:lang w:val="fr-FR"/>
        </w:rPr>
      </w:pPr>
      <w:r>
        <w:rPr>
          <w:lang w:val="fr-FR"/>
        </w:rPr>
        <w:t xml:space="preserve">Nous avons actuellement un système de fidélité ou le client reçoit une </w:t>
      </w:r>
      <w:r w:rsidRPr="004A1893">
        <w:rPr>
          <w:u w:val="single"/>
          <w:lang w:val="fr-FR"/>
        </w:rPr>
        <w:t>carte nominative ou l’on met des cachets</w:t>
      </w:r>
      <w:r>
        <w:rPr>
          <w:lang w:val="fr-FR"/>
        </w:rPr>
        <w:t xml:space="preserve"> à chaque passage du client. Tous les 4 passages, le client décide de prendre une réduction et recommencer à 0 ou de continuer vers jusqu’au bout de la carte afin de devenir ambassadeur de la marque.</w:t>
      </w:r>
      <w:r>
        <w:rPr>
          <w:lang w:val="fr-FR"/>
        </w:rPr>
        <w:br/>
        <w:t xml:space="preserve">Une fois ambassadeur, le client bénéficie d’une réduction spécifique à chaque visite sous présentation </w:t>
      </w:r>
      <w:r w:rsidRPr="004A1893">
        <w:rPr>
          <w:u w:val="single"/>
          <w:lang w:val="fr-FR"/>
        </w:rPr>
        <w:t>d’une carte en PVC</w:t>
      </w:r>
      <w:r>
        <w:rPr>
          <w:lang w:val="fr-FR"/>
        </w:rPr>
        <w:t xml:space="preserve"> avec code-barre</w:t>
      </w:r>
      <w:r w:rsidR="0035049D">
        <w:rPr>
          <w:lang w:val="fr-FR"/>
        </w:rPr>
        <w:t xml:space="preserve"> comme détaillée ci-dessous</w:t>
      </w:r>
      <w:r>
        <w:rPr>
          <w:lang w:val="fr-FR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8906A7" w14:paraId="491E58B4" w14:textId="77777777" w:rsidTr="008906A7">
        <w:tc>
          <w:tcPr>
            <w:tcW w:w="4508" w:type="dxa"/>
          </w:tcPr>
          <w:p w14:paraId="6833D2A4" w14:textId="74539001" w:rsidR="009A0242" w:rsidRPr="004A1893" w:rsidRDefault="009A0242" w:rsidP="00467306">
            <w:pPr>
              <w:jc w:val="both"/>
              <w:rPr>
                <w:u w:val="single"/>
                <w:lang w:val="fr-FR"/>
              </w:rPr>
            </w:pPr>
            <w:r w:rsidRPr="004A1893">
              <w:rPr>
                <w:u w:val="single"/>
                <w:lang w:val="fr-FR"/>
              </w:rPr>
              <w:t>Carte à cachets</w:t>
            </w:r>
            <w:r w:rsidR="008906A7">
              <w:rPr>
                <w:u w:val="single"/>
                <w:lang w:val="fr-FR"/>
              </w:rPr>
              <w:t xml:space="preserve"> (pliée)</w:t>
            </w:r>
          </w:p>
        </w:tc>
        <w:tc>
          <w:tcPr>
            <w:tcW w:w="4508" w:type="dxa"/>
          </w:tcPr>
          <w:p w14:paraId="2724C821" w14:textId="44125D66" w:rsidR="009A0242" w:rsidRPr="004A1893" w:rsidRDefault="009A0242" w:rsidP="00467306">
            <w:pPr>
              <w:jc w:val="both"/>
              <w:rPr>
                <w:u w:val="single"/>
                <w:lang w:val="fr-FR"/>
              </w:rPr>
            </w:pPr>
            <w:r w:rsidRPr="004A1893">
              <w:rPr>
                <w:u w:val="single"/>
                <w:lang w:val="fr-FR"/>
              </w:rPr>
              <w:t>Carte en PVC</w:t>
            </w:r>
            <w:r w:rsidR="004A1893" w:rsidRPr="004A1893">
              <w:rPr>
                <w:u w:val="single"/>
                <w:lang w:val="fr-FR"/>
              </w:rPr>
              <w:t> :</w:t>
            </w:r>
          </w:p>
        </w:tc>
      </w:tr>
      <w:tr w:rsidR="008906A7" w14:paraId="4C15B557" w14:textId="77777777" w:rsidTr="008906A7">
        <w:tc>
          <w:tcPr>
            <w:tcW w:w="4508" w:type="dxa"/>
          </w:tcPr>
          <w:p w14:paraId="2C3DCC81" w14:textId="45680EDD" w:rsidR="004A1893" w:rsidRDefault="008906A7" w:rsidP="0046730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extérieur</w:t>
            </w:r>
            <w:r w:rsidR="004A1893">
              <w:rPr>
                <w:lang w:val="fr-FR"/>
              </w:rPr>
              <w:t> :</w:t>
            </w:r>
          </w:p>
        </w:tc>
        <w:tc>
          <w:tcPr>
            <w:tcW w:w="4508" w:type="dxa"/>
            <w:vMerge w:val="restart"/>
          </w:tcPr>
          <w:p w14:paraId="59DB45E8" w14:textId="2E6C0A46" w:rsidR="004A1893" w:rsidRDefault="004A1893" w:rsidP="00467306">
            <w:pPr>
              <w:jc w:val="both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2577A2C7" wp14:editId="13851438">
                  <wp:extent cx="3431446" cy="4850765"/>
                  <wp:effectExtent l="0" t="0" r="0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4383" cy="4897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6A7" w14:paraId="4161BF1E" w14:textId="77777777" w:rsidTr="008906A7">
        <w:tc>
          <w:tcPr>
            <w:tcW w:w="4508" w:type="dxa"/>
          </w:tcPr>
          <w:p w14:paraId="663CE50E" w14:textId="59F1E097" w:rsidR="004A1893" w:rsidRDefault="008906A7" w:rsidP="00467306">
            <w:pPr>
              <w:jc w:val="both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3C965C33" wp14:editId="03955F05">
                  <wp:extent cx="1744997" cy="2238375"/>
                  <wp:effectExtent l="0" t="0" r="762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717" cy="2253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Merge/>
          </w:tcPr>
          <w:p w14:paraId="492C3E60" w14:textId="161A4506" w:rsidR="004A1893" w:rsidRDefault="004A1893" w:rsidP="00467306">
            <w:pPr>
              <w:jc w:val="both"/>
              <w:rPr>
                <w:lang w:val="fr-FR"/>
              </w:rPr>
            </w:pPr>
          </w:p>
        </w:tc>
      </w:tr>
      <w:tr w:rsidR="008906A7" w14:paraId="6FBAF770" w14:textId="77777777" w:rsidTr="008906A7">
        <w:tc>
          <w:tcPr>
            <w:tcW w:w="4508" w:type="dxa"/>
          </w:tcPr>
          <w:p w14:paraId="5DEDBE5C" w14:textId="48F7EB00" w:rsidR="004A1893" w:rsidRDefault="008906A7" w:rsidP="0046730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intérieur</w:t>
            </w:r>
            <w:r w:rsidR="004A1893">
              <w:rPr>
                <w:lang w:val="fr-FR"/>
              </w:rPr>
              <w:t> :</w:t>
            </w:r>
          </w:p>
        </w:tc>
        <w:tc>
          <w:tcPr>
            <w:tcW w:w="4508" w:type="dxa"/>
            <w:vMerge/>
          </w:tcPr>
          <w:p w14:paraId="04ACAECF" w14:textId="3992A87E" w:rsidR="004A1893" w:rsidRDefault="004A1893" w:rsidP="00467306">
            <w:pPr>
              <w:jc w:val="both"/>
              <w:rPr>
                <w:lang w:val="fr-FR"/>
              </w:rPr>
            </w:pPr>
          </w:p>
        </w:tc>
      </w:tr>
      <w:tr w:rsidR="008906A7" w14:paraId="1E6A9B3D" w14:textId="77777777" w:rsidTr="008906A7">
        <w:tc>
          <w:tcPr>
            <w:tcW w:w="4508" w:type="dxa"/>
          </w:tcPr>
          <w:p w14:paraId="7E2CCEF1" w14:textId="7C9E9A57" w:rsidR="004A1893" w:rsidRDefault="008906A7" w:rsidP="00467306">
            <w:pPr>
              <w:jc w:val="both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7C60382F" wp14:editId="211B4E4D">
                  <wp:extent cx="1762125" cy="2260345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293" cy="2264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Merge/>
          </w:tcPr>
          <w:p w14:paraId="180BF960" w14:textId="77777777" w:rsidR="004A1893" w:rsidRDefault="004A1893" w:rsidP="00467306">
            <w:pPr>
              <w:jc w:val="both"/>
              <w:rPr>
                <w:lang w:val="fr-FR"/>
              </w:rPr>
            </w:pPr>
          </w:p>
        </w:tc>
      </w:tr>
    </w:tbl>
    <w:p w14:paraId="1492B36B" w14:textId="77777777" w:rsidR="00AD19A1" w:rsidRDefault="00AD19A1" w:rsidP="00467306">
      <w:pPr>
        <w:jc w:val="both"/>
        <w:rPr>
          <w:lang w:val="fr-FR"/>
        </w:rPr>
      </w:pPr>
      <w:r>
        <w:rPr>
          <w:lang w:val="fr-FR"/>
        </w:rPr>
        <w:br w:type="page"/>
      </w:r>
    </w:p>
    <w:p w14:paraId="1AF1B7B3" w14:textId="078DF0ED" w:rsidR="000C5A9B" w:rsidRPr="007120D5" w:rsidRDefault="00F17486" w:rsidP="00467306">
      <w:pPr>
        <w:jc w:val="both"/>
        <w:rPr>
          <w:i/>
          <w:iCs/>
          <w:sz w:val="28"/>
          <w:szCs w:val="28"/>
          <w:u w:val="single"/>
          <w:lang w:val="fr-FR"/>
        </w:rPr>
      </w:pPr>
      <w:r w:rsidRPr="007120D5">
        <w:rPr>
          <w:i/>
          <w:iCs/>
          <w:sz w:val="28"/>
          <w:szCs w:val="28"/>
          <w:u w:val="single"/>
          <w:lang w:val="fr-FR"/>
        </w:rPr>
        <w:lastRenderedPageBreak/>
        <w:t>Fonctionnement actuel :</w:t>
      </w:r>
    </w:p>
    <w:p w14:paraId="1E53F3B0" w14:textId="77777777" w:rsidR="0061143A" w:rsidRDefault="00F17486" w:rsidP="00467306">
      <w:pPr>
        <w:jc w:val="both"/>
        <w:rPr>
          <w:lang w:val="fr-FR"/>
        </w:rPr>
      </w:pPr>
      <w:r>
        <w:rPr>
          <w:lang w:val="fr-FR"/>
        </w:rPr>
        <w:t>Une fois le client devenu ambassadeur, nous lui remettons un formulaire</w:t>
      </w:r>
      <w:r w:rsidR="0061143A">
        <w:rPr>
          <w:lang w:val="fr-FR"/>
        </w:rPr>
        <w:t xml:space="preserve"> comme celui-ci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1143A" w14:paraId="43D03BC6" w14:textId="77777777" w:rsidTr="00FC2DCB">
        <w:tc>
          <w:tcPr>
            <w:tcW w:w="9016" w:type="dxa"/>
          </w:tcPr>
          <w:p w14:paraId="6E68C165" w14:textId="147B2186" w:rsidR="0061143A" w:rsidRDefault="00FC2DCB" w:rsidP="00467306">
            <w:pPr>
              <w:jc w:val="both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1F50CEBB" wp14:editId="7047FB28">
                  <wp:extent cx="5353050" cy="3048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5DC63" w14:textId="7F2089D0" w:rsidR="00F17486" w:rsidRDefault="00F17486" w:rsidP="00467306">
      <w:pPr>
        <w:jc w:val="both"/>
        <w:rPr>
          <w:lang w:val="fr-FR"/>
        </w:rPr>
      </w:pPr>
      <w:r>
        <w:rPr>
          <w:lang w:val="fr-FR"/>
        </w:rPr>
        <w:t xml:space="preserve"> </w:t>
      </w:r>
    </w:p>
    <w:p w14:paraId="10577B20" w14:textId="53737028" w:rsidR="0040503F" w:rsidRDefault="0040503F" w:rsidP="00467306">
      <w:pPr>
        <w:jc w:val="both"/>
        <w:rPr>
          <w:lang w:val="fr-FR"/>
        </w:rPr>
      </w:pPr>
      <w:r>
        <w:rPr>
          <w:lang w:val="fr-FR"/>
        </w:rPr>
        <w:t>Un travailleur encode ensuite ces données dans notre base de données</w:t>
      </w:r>
      <w:r w:rsidR="00B84598">
        <w:rPr>
          <w:lang w:val="fr-FR"/>
        </w:rPr>
        <w:t xml:space="preserve">. </w:t>
      </w:r>
    </w:p>
    <w:p w14:paraId="35AB208B" w14:textId="77777777" w:rsidR="009F4AC3" w:rsidRDefault="00B84598" w:rsidP="00467306">
      <w:pPr>
        <w:jc w:val="both"/>
        <w:rPr>
          <w:lang w:val="fr-FR"/>
        </w:rPr>
      </w:pPr>
      <w:r>
        <w:rPr>
          <w:lang w:val="fr-FR"/>
        </w:rPr>
        <w:t xml:space="preserve">Lorsque l’ambassadeur passe en caisse les fois suivantes, nous </w:t>
      </w:r>
      <w:r w:rsidRPr="00766D37">
        <w:rPr>
          <w:b/>
          <w:bCs/>
          <w:lang w:val="fr-FR"/>
        </w:rPr>
        <w:t xml:space="preserve">scannons </w:t>
      </w:r>
      <w:r w:rsidR="00F3511C" w:rsidRPr="00766D37">
        <w:rPr>
          <w:b/>
          <w:bCs/>
          <w:lang w:val="fr-FR"/>
        </w:rPr>
        <w:t>le code barre de la carte, ce q</w:t>
      </w:r>
      <w:r w:rsidR="00BC62A4" w:rsidRPr="00766D37">
        <w:rPr>
          <w:b/>
          <w:bCs/>
          <w:lang w:val="fr-FR"/>
        </w:rPr>
        <w:t>ui affiche le nom et prénom de la personne</w:t>
      </w:r>
      <w:r w:rsidR="00BC62A4">
        <w:rPr>
          <w:lang w:val="fr-FR"/>
        </w:rPr>
        <w:t xml:space="preserve"> et nous permet de contrôler l’identité si besoin. Le travailleur sélectionne ensuite la </w:t>
      </w:r>
      <w:r w:rsidR="005C5D65">
        <w:rPr>
          <w:lang w:val="fr-FR"/>
        </w:rPr>
        <w:t xml:space="preserve">promotion </w:t>
      </w:r>
      <w:r w:rsidR="00EF692D">
        <w:rPr>
          <w:lang w:val="fr-FR"/>
        </w:rPr>
        <w:t>à appliquer.</w:t>
      </w:r>
      <w:r w:rsidR="00EF692D">
        <w:rPr>
          <w:lang w:val="fr-FR"/>
        </w:rPr>
        <w:br/>
        <w:t xml:space="preserve">Les </w:t>
      </w:r>
      <w:r w:rsidR="005C5D65">
        <w:rPr>
          <w:lang w:val="fr-FR"/>
        </w:rPr>
        <w:t>promotions</w:t>
      </w:r>
      <w:r w:rsidR="00EF692D">
        <w:rPr>
          <w:lang w:val="fr-FR"/>
        </w:rPr>
        <w:t xml:space="preserve"> varient chaque mois </w:t>
      </w:r>
      <w:r w:rsidR="005C5D65">
        <w:rPr>
          <w:lang w:val="fr-FR"/>
        </w:rPr>
        <w:t xml:space="preserve">(ex. : boisson offerte, guacamole à 50%,…) </w:t>
      </w:r>
      <w:r w:rsidR="00EF692D">
        <w:rPr>
          <w:lang w:val="fr-FR"/>
        </w:rPr>
        <w:t>avec la possibilité de ne pas prendre la rédu</w:t>
      </w:r>
      <w:r w:rsidR="005C5D65">
        <w:rPr>
          <w:lang w:val="fr-FR"/>
        </w:rPr>
        <w:t>ction pour le client et de bénéficier de 10% sur le prix de son menu.</w:t>
      </w:r>
    </w:p>
    <w:p w14:paraId="0F2DB578" w14:textId="12C549C1" w:rsidR="00B84598" w:rsidRDefault="0049285D" w:rsidP="00467306">
      <w:pPr>
        <w:jc w:val="both"/>
        <w:rPr>
          <w:lang w:val="fr-FR"/>
        </w:rPr>
      </w:pPr>
      <w:r>
        <w:rPr>
          <w:lang w:val="fr-FR"/>
        </w:rPr>
        <w:t>Aucune statistique n’est enregistrée et les mails</w:t>
      </w:r>
      <w:r w:rsidR="009F4AC3">
        <w:rPr>
          <w:lang w:val="fr-FR"/>
        </w:rPr>
        <w:t xml:space="preserve">/sms ne sont pas pris en compte car aucune promo n'est faite via ces canaux. </w:t>
      </w:r>
    </w:p>
    <w:p w14:paraId="4F6B8A70" w14:textId="20D8F84C" w:rsidR="001457D9" w:rsidRDefault="001457D9" w:rsidP="00467306">
      <w:pPr>
        <w:jc w:val="both"/>
        <w:rPr>
          <w:lang w:val="fr-FR"/>
        </w:rPr>
      </w:pPr>
      <w:r>
        <w:rPr>
          <w:lang w:val="fr-FR"/>
        </w:rPr>
        <w:t xml:space="preserve">La base de </w:t>
      </w:r>
      <w:r w:rsidR="000C1F82">
        <w:rPr>
          <w:lang w:val="fr-FR"/>
        </w:rPr>
        <w:t>données actuelle</w:t>
      </w:r>
      <w:r>
        <w:rPr>
          <w:lang w:val="fr-FR"/>
        </w:rPr>
        <w:t xml:space="preserve"> est exportable sous fichier </w:t>
      </w:r>
      <w:r w:rsidR="00AC2E40">
        <w:rPr>
          <w:lang w:val="fr-FR"/>
        </w:rPr>
        <w:t>Excel</w:t>
      </w:r>
      <w:r>
        <w:rPr>
          <w:lang w:val="fr-FR"/>
        </w:rPr>
        <w:t xml:space="preserve"> mais est intégrée à HORECATOUCH</w:t>
      </w:r>
      <w:r w:rsidR="000C1F82">
        <w:rPr>
          <w:lang w:val="fr-FR"/>
        </w:rPr>
        <w:t>, logiciel privé non accessible.</w:t>
      </w:r>
    </w:p>
    <w:p w14:paraId="4BD00CCA" w14:textId="77777777" w:rsidR="000C1F82" w:rsidRDefault="000C1F82" w:rsidP="00467306">
      <w:pPr>
        <w:jc w:val="both"/>
        <w:rPr>
          <w:lang w:val="fr-FR"/>
        </w:rPr>
      </w:pPr>
    </w:p>
    <w:p w14:paraId="594805B9" w14:textId="3B1078BA" w:rsidR="00AD19A1" w:rsidRDefault="00AD19A1" w:rsidP="00467306">
      <w:pPr>
        <w:jc w:val="both"/>
        <w:rPr>
          <w:lang w:val="fr-FR"/>
        </w:rPr>
      </w:pPr>
      <w:r>
        <w:rPr>
          <w:lang w:val="fr-FR"/>
        </w:rPr>
        <w:br w:type="page"/>
      </w:r>
    </w:p>
    <w:p w14:paraId="01F44E57" w14:textId="44F9932B" w:rsidR="00AD19A1" w:rsidRPr="007120D5" w:rsidRDefault="00AB7F67" w:rsidP="00467306">
      <w:pPr>
        <w:jc w:val="both"/>
        <w:rPr>
          <w:i/>
          <w:iCs/>
          <w:sz w:val="28"/>
          <w:szCs w:val="28"/>
          <w:u w:val="single"/>
          <w:lang w:val="fr-FR"/>
        </w:rPr>
      </w:pPr>
      <w:r w:rsidRPr="007120D5">
        <w:rPr>
          <w:i/>
          <w:iCs/>
          <w:sz w:val="28"/>
          <w:szCs w:val="28"/>
          <w:u w:val="single"/>
          <w:lang w:val="fr-FR"/>
        </w:rPr>
        <w:lastRenderedPageBreak/>
        <w:t>Ce que veut le client :</w:t>
      </w:r>
    </w:p>
    <w:p w14:paraId="6619FAE3" w14:textId="0F5E8B8C" w:rsidR="00AB7F67" w:rsidRDefault="00AB7F67" w:rsidP="00467306">
      <w:pPr>
        <w:jc w:val="both"/>
        <w:rPr>
          <w:lang w:val="fr-FR"/>
        </w:rPr>
      </w:pPr>
      <w:r>
        <w:rPr>
          <w:lang w:val="fr-FR"/>
        </w:rPr>
        <w:t>Nous voulons m</w:t>
      </w:r>
      <w:r w:rsidR="00A62236">
        <w:rPr>
          <w:lang w:val="fr-FR"/>
        </w:rPr>
        <w:t xml:space="preserve">odifier la deuxième partie de notre programme de </w:t>
      </w:r>
      <w:r w:rsidR="00A67B4A">
        <w:rPr>
          <w:lang w:val="fr-FR"/>
        </w:rPr>
        <w:t>fidélité</w:t>
      </w:r>
      <w:r w:rsidR="00A62236">
        <w:rPr>
          <w:lang w:val="fr-FR"/>
        </w:rPr>
        <w:t xml:space="preserve"> </w:t>
      </w:r>
      <w:r w:rsidR="00A67B4A">
        <w:rPr>
          <w:lang w:val="fr-FR"/>
        </w:rPr>
        <w:t>(carte PVC)</w:t>
      </w:r>
      <w:r w:rsidR="00747A34">
        <w:rPr>
          <w:lang w:val="fr-FR"/>
        </w:rPr>
        <w:t xml:space="preserve"> dans nos 2 restaurants</w:t>
      </w:r>
      <w:r w:rsidR="00A67B4A">
        <w:rPr>
          <w:lang w:val="fr-FR"/>
        </w:rPr>
        <w:t>.</w:t>
      </w:r>
    </w:p>
    <w:p w14:paraId="23E8C009" w14:textId="2BBF86E8" w:rsidR="00A67B4A" w:rsidRDefault="00A67B4A" w:rsidP="00467306">
      <w:pPr>
        <w:jc w:val="both"/>
        <w:rPr>
          <w:lang w:val="fr-FR"/>
        </w:rPr>
      </w:pPr>
      <w:r>
        <w:rPr>
          <w:lang w:val="fr-FR"/>
        </w:rPr>
        <w:t xml:space="preserve">Pour ce faire nous aimerions </w:t>
      </w:r>
      <w:r w:rsidR="001955CF">
        <w:rPr>
          <w:lang w:val="fr-FR"/>
        </w:rPr>
        <w:t xml:space="preserve">que le client ayant atteint le statut ambassadeur remplisse en ligne </w:t>
      </w:r>
      <w:r w:rsidR="004572D8">
        <w:rPr>
          <w:lang w:val="fr-FR"/>
        </w:rPr>
        <w:t xml:space="preserve">un formulaire similaire à celui déjà présent ci-dessus. </w:t>
      </w:r>
    </w:p>
    <w:p w14:paraId="467035DA" w14:textId="32D6E1F6" w:rsidR="00E36D03" w:rsidRPr="007120D5" w:rsidRDefault="00EC3B3E" w:rsidP="00467306">
      <w:pPr>
        <w:jc w:val="both"/>
        <w:rPr>
          <w:u w:val="single"/>
          <w:lang w:val="fr-FR"/>
        </w:rPr>
      </w:pPr>
      <w:r w:rsidRPr="007120D5">
        <w:rPr>
          <w:u w:val="single"/>
          <w:lang w:val="fr-FR"/>
        </w:rPr>
        <w:t xml:space="preserve">Nos </w:t>
      </w:r>
      <w:r w:rsidR="00CE585A" w:rsidRPr="007120D5">
        <w:rPr>
          <w:u w:val="single"/>
          <w:lang w:val="fr-FR"/>
        </w:rPr>
        <w:t>contraintes</w:t>
      </w:r>
      <w:r w:rsidR="0030113A" w:rsidRPr="007120D5">
        <w:rPr>
          <w:u w:val="single"/>
          <w:lang w:val="fr-FR"/>
        </w:rPr>
        <w:t>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E234C" w14:paraId="3E28612F" w14:textId="77777777" w:rsidTr="002C7C48">
        <w:tc>
          <w:tcPr>
            <w:tcW w:w="9016" w:type="dxa"/>
          </w:tcPr>
          <w:p w14:paraId="4A411751" w14:textId="1598991A" w:rsidR="008E234C" w:rsidRPr="007120D5" w:rsidRDefault="007A651C" w:rsidP="00467306">
            <w:pPr>
              <w:jc w:val="both"/>
              <w:rPr>
                <w:i/>
                <w:iCs/>
                <w:lang w:val="fr-FR"/>
              </w:rPr>
            </w:pPr>
            <w:r w:rsidRPr="007120D5">
              <w:rPr>
                <w:i/>
                <w:iCs/>
                <w:lang w:val="fr-FR"/>
              </w:rPr>
              <w:t>Point de vue client :</w:t>
            </w:r>
          </w:p>
        </w:tc>
      </w:tr>
      <w:tr w:rsidR="008E234C" w14:paraId="5E234740" w14:textId="77777777" w:rsidTr="002C7C48">
        <w:tc>
          <w:tcPr>
            <w:tcW w:w="9016" w:type="dxa"/>
          </w:tcPr>
          <w:p w14:paraId="36EFCFCA" w14:textId="77777777" w:rsidR="007A651C" w:rsidRDefault="007A651C" w:rsidP="00467306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Nous voulons connaître le nombre de passage effectué au cours des 30 derniers jours.</w:t>
            </w:r>
          </w:p>
          <w:p w14:paraId="290341BD" w14:textId="77777777" w:rsidR="007A651C" w:rsidRDefault="007A651C" w:rsidP="00467306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Nous voulons connaître le montant dépensé au cours des 30 derniers jours.</w:t>
            </w:r>
          </w:p>
          <w:p w14:paraId="7CFDC2D4" w14:textId="77777777" w:rsidR="007A651C" w:rsidRDefault="007A651C" w:rsidP="00467306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Nous voulons connaître le montant total depuis la date ou il est devenu ambassadeur.</w:t>
            </w:r>
          </w:p>
          <w:p w14:paraId="2E2830AF" w14:textId="77777777" w:rsidR="007A651C" w:rsidRDefault="007A651C" w:rsidP="00467306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Nous voulons catégoriser le client en fonction des 2 premiers points (bronze, silver, gold, platine)</w:t>
            </w:r>
            <w:r>
              <w:rPr>
                <w:rStyle w:val="FootnoteReference"/>
                <w:lang w:val="fr-FR"/>
              </w:rPr>
              <w:footnoteReference w:id="1"/>
            </w:r>
          </w:p>
          <w:p w14:paraId="56E0722E" w14:textId="77777777" w:rsidR="007A651C" w:rsidRDefault="007A651C" w:rsidP="00467306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En fonction de cette catégorie il faudra déterminer la promotion à attribuer parmi une liste.</w:t>
            </w:r>
            <w:r>
              <w:rPr>
                <w:lang w:val="fr-FR"/>
              </w:rPr>
              <w:br/>
              <w:t>Il faut aussi que cette promotion soit remplaçable par les -10% si le client le décide.</w:t>
            </w:r>
          </w:p>
          <w:p w14:paraId="7B8928EC" w14:textId="77777777" w:rsidR="007A651C" w:rsidRDefault="007A651C" w:rsidP="00467306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Un cadeau est offert à l’anniversaire du client en fonction de son rang.</w:t>
            </w:r>
          </w:p>
          <w:p w14:paraId="57F3DA3F" w14:textId="77777777" w:rsidR="007A651C" w:rsidRDefault="007A651C" w:rsidP="00467306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Les promotions ne peuvent être cumulables avec une autre réduction (par exemple s’il a déjà bénéficié de la réduction étudiant</w:t>
            </w:r>
            <w:r>
              <w:rPr>
                <w:rStyle w:val="FootnoteReference"/>
                <w:lang w:val="fr-FR"/>
              </w:rPr>
              <w:footnoteReference w:id="2"/>
            </w:r>
            <w:r>
              <w:rPr>
                <w:lang w:val="fr-FR"/>
              </w:rPr>
              <w:t>)</w:t>
            </w:r>
          </w:p>
          <w:p w14:paraId="1706DAB2" w14:textId="77777777" w:rsidR="008E234C" w:rsidRDefault="007A651C" w:rsidP="00467306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Toutes les données doivent être supprimables pour respecter le RGPD mais le numéro de l’ambassadeur ainsi que ses données d’achat doivent rester accessibles.</w:t>
            </w:r>
          </w:p>
          <w:p w14:paraId="3780C6EB" w14:textId="39736FFE" w:rsidR="00004D2B" w:rsidRDefault="00004D2B" w:rsidP="00467306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Nous voulons pouvoir </w:t>
            </w:r>
            <w:r w:rsidR="00F72AC5">
              <w:rPr>
                <w:lang w:val="fr-FR"/>
              </w:rPr>
              <w:t>faire certains recoupements d’informations (ex. : afficher l</w:t>
            </w:r>
            <w:r w:rsidR="00B43CA1">
              <w:rPr>
                <w:lang w:val="fr-FR"/>
              </w:rPr>
              <w:t>a moyenne de visite d</w:t>
            </w:r>
            <w:r w:rsidR="00F72AC5">
              <w:rPr>
                <w:lang w:val="fr-FR"/>
              </w:rPr>
              <w:t>es clients</w:t>
            </w:r>
            <w:r w:rsidR="00B43CA1">
              <w:rPr>
                <w:lang w:val="fr-FR"/>
              </w:rPr>
              <w:t xml:space="preserve"> platine</w:t>
            </w:r>
            <w:r w:rsidR="00F72AC5">
              <w:rPr>
                <w:lang w:val="fr-FR"/>
              </w:rPr>
              <w:t xml:space="preserve"> de Mex&amp;Go Namur</w:t>
            </w:r>
            <w:r w:rsidR="00B43CA1">
              <w:rPr>
                <w:lang w:val="fr-FR"/>
              </w:rPr>
              <w:t>)</w:t>
            </w:r>
          </w:p>
          <w:p w14:paraId="2E250AFD" w14:textId="705C110C" w:rsidR="0087714A" w:rsidRPr="007A651C" w:rsidRDefault="0087714A" w:rsidP="00467306">
            <w:pPr>
              <w:pStyle w:val="ListParagraph"/>
              <w:jc w:val="both"/>
              <w:rPr>
                <w:lang w:val="fr-FR"/>
              </w:rPr>
            </w:pPr>
          </w:p>
        </w:tc>
      </w:tr>
      <w:tr w:rsidR="008E234C" w14:paraId="3A0BD720" w14:textId="77777777" w:rsidTr="002C7C48">
        <w:tc>
          <w:tcPr>
            <w:tcW w:w="9016" w:type="dxa"/>
          </w:tcPr>
          <w:p w14:paraId="0A715D10" w14:textId="4BFC1638" w:rsidR="008E234C" w:rsidRPr="007120D5" w:rsidRDefault="007A651C" w:rsidP="00467306">
            <w:pPr>
              <w:jc w:val="both"/>
              <w:rPr>
                <w:i/>
                <w:iCs/>
                <w:lang w:val="fr-FR"/>
              </w:rPr>
            </w:pPr>
            <w:r w:rsidRPr="007120D5">
              <w:rPr>
                <w:i/>
                <w:iCs/>
                <w:lang w:val="fr-FR"/>
              </w:rPr>
              <w:t>Point de vue travailleur :</w:t>
            </w:r>
          </w:p>
        </w:tc>
      </w:tr>
      <w:tr w:rsidR="008E234C" w14:paraId="47743944" w14:textId="77777777" w:rsidTr="002C7C48">
        <w:tc>
          <w:tcPr>
            <w:tcW w:w="9016" w:type="dxa"/>
          </w:tcPr>
          <w:p w14:paraId="44850B38" w14:textId="60B8126E" w:rsidR="008E234C" w:rsidRDefault="001D5819" w:rsidP="00467306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Tout travailleurs doit être </w:t>
            </w:r>
            <w:r w:rsidR="006216BE">
              <w:rPr>
                <w:lang w:val="fr-FR"/>
              </w:rPr>
              <w:t xml:space="preserve">référencé avec son NISS, </w:t>
            </w:r>
            <w:r w:rsidR="003A3F30">
              <w:rPr>
                <w:lang w:val="fr-FR"/>
              </w:rPr>
              <w:t xml:space="preserve">nom, prénom, </w:t>
            </w:r>
            <w:r w:rsidR="006216BE">
              <w:rPr>
                <w:lang w:val="fr-FR"/>
              </w:rPr>
              <w:t>type de contrat</w:t>
            </w:r>
            <w:r w:rsidR="0032151F">
              <w:rPr>
                <w:lang w:val="fr-FR"/>
              </w:rPr>
              <w:t>, date d’entrée dans la société</w:t>
            </w:r>
            <w:r w:rsidR="002414FD">
              <w:rPr>
                <w:lang w:val="fr-FR"/>
              </w:rPr>
              <w:t>, date de naissance</w:t>
            </w:r>
            <w:r w:rsidR="003A3F30">
              <w:rPr>
                <w:lang w:val="fr-FR"/>
              </w:rPr>
              <w:t>)</w:t>
            </w:r>
          </w:p>
          <w:p w14:paraId="2ECABBCB" w14:textId="77777777" w:rsidR="003A3F30" w:rsidRDefault="003A3F30" w:rsidP="00467306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Les permissions seront listées et modifiables </w:t>
            </w:r>
            <w:r w:rsidR="00647430">
              <w:rPr>
                <w:lang w:val="fr-FR"/>
              </w:rPr>
              <w:t xml:space="preserve">par le gestionnaire </w:t>
            </w:r>
            <w:r>
              <w:rPr>
                <w:lang w:val="fr-FR"/>
              </w:rPr>
              <w:t xml:space="preserve">en fonction </w:t>
            </w:r>
            <w:r w:rsidR="00647430">
              <w:rPr>
                <w:lang w:val="fr-FR"/>
              </w:rPr>
              <w:t>du type de contrat</w:t>
            </w:r>
          </w:p>
          <w:p w14:paraId="7348B5D2" w14:textId="420F0239" w:rsidR="00C169C1" w:rsidRPr="007A651C" w:rsidRDefault="00C169C1" w:rsidP="00467306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Les travailleurs seront encodés par le gestionnaire</w:t>
            </w:r>
          </w:p>
        </w:tc>
      </w:tr>
      <w:tr w:rsidR="00BC0387" w14:paraId="73B7219C" w14:textId="77777777" w:rsidTr="002C7C48">
        <w:tc>
          <w:tcPr>
            <w:tcW w:w="9016" w:type="dxa"/>
          </w:tcPr>
          <w:p w14:paraId="6561CB0A" w14:textId="3E7ACAB4" w:rsidR="00BC0387" w:rsidRDefault="00A925B2" w:rsidP="00467306">
            <w:pPr>
              <w:pStyle w:val="ListParagraph"/>
              <w:jc w:val="both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BC0387">
              <w:rPr>
                <w:lang w:val="fr-FR"/>
              </w:rPr>
              <w:t>Optionnel</w:t>
            </w:r>
            <w:r>
              <w:rPr>
                <w:lang w:val="fr-FR"/>
              </w:rPr>
              <w:t>)</w:t>
            </w:r>
          </w:p>
        </w:tc>
      </w:tr>
      <w:tr w:rsidR="00D22411" w14:paraId="319B5DD6" w14:textId="77777777" w:rsidTr="002C7C48">
        <w:tc>
          <w:tcPr>
            <w:tcW w:w="9016" w:type="dxa"/>
          </w:tcPr>
          <w:p w14:paraId="7E19749B" w14:textId="2BD3D98E" w:rsidR="00D22411" w:rsidRDefault="002414FD" w:rsidP="00467306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Le salaire et les aides à l’emploi disponibles seront affichées pour le travailleur en fonction de critères (types de contrat , </w:t>
            </w:r>
            <w:r w:rsidR="00A925B2">
              <w:rPr>
                <w:lang w:val="fr-FR"/>
              </w:rPr>
              <w:t>âge, …</w:t>
            </w:r>
            <w:r>
              <w:rPr>
                <w:lang w:val="fr-FR"/>
              </w:rPr>
              <w:t>)</w:t>
            </w:r>
          </w:p>
        </w:tc>
      </w:tr>
    </w:tbl>
    <w:p w14:paraId="592F60B3" w14:textId="4E0BD047" w:rsidR="003F60EC" w:rsidRDefault="003F60EC" w:rsidP="00467306">
      <w:pPr>
        <w:jc w:val="both"/>
        <w:rPr>
          <w:lang w:val="fr-FR"/>
        </w:rPr>
      </w:pPr>
    </w:p>
    <w:p w14:paraId="364205C4" w14:textId="77777777" w:rsidR="003F60EC" w:rsidRDefault="003F60EC" w:rsidP="00467306">
      <w:pPr>
        <w:jc w:val="both"/>
        <w:rPr>
          <w:lang w:val="fr-FR"/>
        </w:rPr>
      </w:pPr>
      <w:r>
        <w:rPr>
          <w:lang w:val="fr-FR"/>
        </w:rPr>
        <w:br w:type="page"/>
      </w:r>
    </w:p>
    <w:p w14:paraId="5319FF51" w14:textId="1BDBA181" w:rsidR="00467306" w:rsidRPr="00467306" w:rsidRDefault="00467306" w:rsidP="00467306">
      <w:pPr>
        <w:jc w:val="both"/>
        <w:rPr>
          <w:b/>
          <w:bCs/>
          <w:sz w:val="32"/>
          <w:szCs w:val="32"/>
          <w:u w:val="single"/>
          <w:lang w:val="fr-FR"/>
        </w:rPr>
      </w:pPr>
      <w:r w:rsidRPr="00467306">
        <w:rPr>
          <w:b/>
          <w:bCs/>
          <w:sz w:val="32"/>
          <w:szCs w:val="32"/>
          <w:u w:val="single"/>
          <w:lang w:val="fr-FR"/>
        </w:rPr>
        <w:lastRenderedPageBreak/>
        <w:t>Domaine d’application</w:t>
      </w:r>
      <w:r w:rsidR="0015396C">
        <w:rPr>
          <w:b/>
          <w:bCs/>
          <w:sz w:val="32"/>
          <w:szCs w:val="32"/>
          <w:u w:val="single"/>
          <w:lang w:val="fr-FR"/>
        </w:rPr>
        <w:t> :</w:t>
      </w:r>
    </w:p>
    <w:p w14:paraId="244F4DC7" w14:textId="77777777" w:rsidR="00467306" w:rsidRDefault="003F60EC" w:rsidP="00467306">
      <w:pPr>
        <w:jc w:val="both"/>
        <w:rPr>
          <w:lang w:val="fr-FR"/>
        </w:rPr>
      </w:pPr>
      <w:r>
        <w:rPr>
          <w:lang w:val="fr-FR"/>
        </w:rPr>
        <w:t xml:space="preserve">Nous réalisons une base de données pour la </w:t>
      </w:r>
      <w:r w:rsidR="00467306" w:rsidRPr="00467306">
        <w:rPr>
          <w:lang w:val="fr-FR"/>
        </w:rPr>
        <w:t>chaîne</w:t>
      </w:r>
      <w:r>
        <w:rPr>
          <w:lang w:val="fr-FR"/>
        </w:rPr>
        <w:t xml:space="preserve"> de restaurants Mex&amp;Go® dont les deux </w:t>
      </w:r>
      <w:r w:rsidR="00467306">
        <w:rPr>
          <w:lang w:val="fr-FR"/>
        </w:rPr>
        <w:t>implantations</w:t>
      </w:r>
      <w:r>
        <w:rPr>
          <w:lang w:val="fr-FR"/>
        </w:rPr>
        <w:t xml:space="preserve"> se situent à Namur et à Louvain-la-Neuve. Chaque restaurant est identifié par un numéro unique.</w:t>
      </w:r>
      <w:r w:rsidR="00175F1A">
        <w:rPr>
          <w:lang w:val="fr-FR"/>
        </w:rPr>
        <w:t xml:space="preserve"> </w:t>
      </w:r>
    </w:p>
    <w:p w14:paraId="2FCD71ED" w14:textId="7108E1A6" w:rsidR="00467306" w:rsidRDefault="00175F1A" w:rsidP="00467306">
      <w:pPr>
        <w:jc w:val="both"/>
        <w:rPr>
          <w:lang w:val="fr-FR"/>
        </w:rPr>
      </w:pPr>
      <w:r>
        <w:rPr>
          <w:lang w:val="fr-FR"/>
        </w:rPr>
        <w:t xml:space="preserve">Nous souhaitons garder une trace des passages en caisse réalisés dans les restaurants afin de garder une </w:t>
      </w:r>
      <w:r w:rsidRPr="00467306">
        <w:rPr>
          <w:color w:val="FF0000"/>
          <w:lang w:val="fr-FR"/>
        </w:rPr>
        <w:t>trace comptable de l’ensemble des transactions</w:t>
      </w:r>
      <w:r w:rsidR="00467306" w:rsidRPr="00467306">
        <w:rPr>
          <w:color w:val="FF0000"/>
          <w:lang w:val="fr-FR"/>
        </w:rPr>
        <w:t xml:space="preserve"> effectuées par les ambassadeurs</w:t>
      </w:r>
      <w:r>
        <w:rPr>
          <w:lang w:val="fr-FR"/>
        </w:rPr>
        <w:t>.</w:t>
      </w:r>
      <w:r w:rsidR="00467306">
        <w:rPr>
          <w:lang w:val="fr-FR"/>
        </w:rPr>
        <w:t xml:space="preserve"> Les ambassadeurs sont des Clients ayant rempli leur carte de fidélité et gagnant accès à des promotions plus attractives liées à leur palier d’ambassadeur</w:t>
      </w:r>
      <w:r w:rsidR="006B6949">
        <w:rPr>
          <w:lang w:val="fr-FR"/>
        </w:rPr>
        <w:t xml:space="preserve"> (bronze-argent-or-platine)</w:t>
      </w:r>
      <w:bookmarkStart w:id="0" w:name="_GoBack"/>
      <w:bookmarkEnd w:id="0"/>
      <w:r w:rsidR="00467306">
        <w:rPr>
          <w:lang w:val="fr-FR"/>
        </w:rPr>
        <w:t>.</w:t>
      </w:r>
      <w:r>
        <w:rPr>
          <w:lang w:val="fr-FR"/>
        </w:rPr>
        <w:t xml:space="preserve"> </w:t>
      </w:r>
      <w:r w:rsidR="003422D6">
        <w:rPr>
          <w:lang w:val="fr-FR"/>
        </w:rPr>
        <w:t xml:space="preserve">Les passages en caisse sont représentés par un ticket reprenant l’ensemble des produits achetés. </w:t>
      </w:r>
      <w:r w:rsidR="003422D6" w:rsidRPr="003422D6">
        <w:rPr>
          <w:lang w:val="fr-FR"/>
        </w:rPr>
        <w:t>Les produits peuvent également être des menu</w:t>
      </w:r>
      <w:r w:rsidR="003422D6">
        <w:rPr>
          <w:lang w:val="fr-FR"/>
        </w:rPr>
        <w:t>s</w:t>
      </w:r>
      <w:r w:rsidR="003422D6" w:rsidRPr="003422D6">
        <w:rPr>
          <w:lang w:val="fr-FR"/>
        </w:rPr>
        <w:t xml:space="preserve"> composés de plusieurs sous-produits</w:t>
      </w:r>
      <w:r w:rsidR="003422D6">
        <w:rPr>
          <w:lang w:val="fr-FR"/>
        </w:rPr>
        <w:t>.</w:t>
      </w:r>
      <w:r w:rsidR="003A1609">
        <w:rPr>
          <w:lang w:val="fr-FR"/>
        </w:rPr>
        <w:t xml:space="preserve"> </w:t>
      </w:r>
    </w:p>
    <w:p w14:paraId="12C1BEB8" w14:textId="77777777" w:rsidR="00467306" w:rsidRDefault="003A1609" w:rsidP="00467306">
      <w:pPr>
        <w:jc w:val="both"/>
        <w:rPr>
          <w:lang w:val="fr-FR"/>
        </w:rPr>
      </w:pPr>
      <w:r>
        <w:rPr>
          <w:lang w:val="fr-FR"/>
        </w:rPr>
        <w:t>Lors d’un passage en caisse, il est possible d’avoir une réduction sur un produit</w:t>
      </w:r>
      <w:r w:rsidR="00746FF7">
        <w:rPr>
          <w:lang w:val="fr-FR"/>
        </w:rPr>
        <w:t xml:space="preserve">. </w:t>
      </w:r>
      <w:r>
        <w:rPr>
          <w:lang w:val="fr-FR"/>
        </w:rPr>
        <w:t xml:space="preserve">Il existe diverses formes de promotions </w:t>
      </w:r>
      <w:r w:rsidR="009C460F">
        <w:rPr>
          <w:lang w:val="fr-FR"/>
        </w:rPr>
        <w:t>(réduction étudiant, végétarien</w:t>
      </w:r>
      <w:r w:rsidR="00746FF7">
        <w:rPr>
          <w:lang w:val="fr-FR"/>
        </w:rPr>
        <w:t xml:space="preserve"> le lundi, …) par rapport au jour</w:t>
      </w:r>
      <w:r w:rsidR="0053172D">
        <w:rPr>
          <w:lang w:val="fr-FR"/>
        </w:rPr>
        <w:t xml:space="preserve"> ou</w:t>
      </w:r>
      <w:r w:rsidR="00746FF7">
        <w:rPr>
          <w:lang w:val="fr-FR"/>
        </w:rPr>
        <w:t xml:space="preserve"> au</w:t>
      </w:r>
      <w:r w:rsidR="00746FF7" w:rsidRPr="00467306">
        <w:rPr>
          <w:color w:val="FF0000"/>
          <w:lang w:val="fr-FR"/>
        </w:rPr>
        <w:t xml:space="preserve"> statut de la personne (</w:t>
      </w:r>
      <w:r w:rsidR="00467306" w:rsidRPr="00467306">
        <w:rPr>
          <w:color w:val="FF0000"/>
          <w:lang w:val="fr-FR"/>
        </w:rPr>
        <w:t xml:space="preserve">paliers </w:t>
      </w:r>
      <w:r w:rsidR="0060650E" w:rsidRPr="00467306">
        <w:rPr>
          <w:color w:val="FF0000"/>
          <w:lang w:val="fr-FR"/>
        </w:rPr>
        <w:t>a</w:t>
      </w:r>
      <w:r w:rsidR="00746FF7" w:rsidRPr="00467306">
        <w:rPr>
          <w:color w:val="FF0000"/>
          <w:lang w:val="fr-FR"/>
        </w:rPr>
        <w:t>mbassadeur</w:t>
      </w:r>
      <w:r w:rsidR="00467306" w:rsidRPr="00467306">
        <w:rPr>
          <w:color w:val="FF0000"/>
          <w:lang w:val="fr-FR"/>
        </w:rPr>
        <w:t xml:space="preserve"> ou ambassadeur étudiant par exemple</w:t>
      </w:r>
      <w:r w:rsidR="00746FF7" w:rsidRPr="00467306">
        <w:rPr>
          <w:color w:val="FF0000"/>
          <w:lang w:val="fr-FR"/>
        </w:rPr>
        <w:t>)</w:t>
      </w:r>
      <w:r w:rsidR="0053172D" w:rsidRPr="00467306">
        <w:rPr>
          <w:color w:val="FF0000"/>
          <w:lang w:val="fr-FR"/>
        </w:rPr>
        <w:t xml:space="preserve"> </w:t>
      </w:r>
      <w:r w:rsidR="0053172D">
        <w:rPr>
          <w:lang w:val="fr-FR"/>
        </w:rPr>
        <w:t>non cumulables sur un produit</w:t>
      </w:r>
      <w:r w:rsidR="00746FF7">
        <w:rPr>
          <w:lang w:val="fr-FR"/>
        </w:rPr>
        <w:t xml:space="preserve">. </w:t>
      </w:r>
    </w:p>
    <w:p w14:paraId="5DD84CEC" w14:textId="617FCC90" w:rsidR="001753F1" w:rsidRDefault="0060650E" w:rsidP="00467306">
      <w:pPr>
        <w:jc w:val="both"/>
        <w:rPr>
          <w:lang w:val="fr-FR"/>
        </w:rPr>
      </w:pPr>
      <w:r>
        <w:rPr>
          <w:lang w:val="fr-FR"/>
        </w:rPr>
        <w:t>Afin de pouvoir bénéficier de ce bonus, l</w:t>
      </w:r>
      <w:r w:rsidR="00A7479D">
        <w:rPr>
          <w:lang w:val="fr-FR"/>
        </w:rPr>
        <w:t xml:space="preserve">e </w:t>
      </w:r>
      <w:r w:rsidR="009524ED">
        <w:rPr>
          <w:lang w:val="fr-FR"/>
        </w:rPr>
        <w:t>Client</w:t>
      </w:r>
      <w:r>
        <w:rPr>
          <w:lang w:val="fr-FR"/>
        </w:rPr>
        <w:t xml:space="preserve"> doit s’inscrire en ligne dans la base de donnée</w:t>
      </w:r>
      <w:r w:rsidR="004D4530">
        <w:rPr>
          <w:lang w:val="fr-FR"/>
        </w:rPr>
        <w:t>s</w:t>
      </w:r>
      <w:r>
        <w:rPr>
          <w:lang w:val="fr-FR"/>
        </w:rPr>
        <w:t xml:space="preserve"> où il donne ses informations personnelle</w:t>
      </w:r>
      <w:r w:rsidR="005F0ACB">
        <w:rPr>
          <w:lang w:val="fr-FR"/>
        </w:rPr>
        <w:t xml:space="preserve">s </w:t>
      </w:r>
      <w:r w:rsidR="005F0ACB" w:rsidRPr="00253735">
        <w:rPr>
          <w:i/>
          <w:iCs/>
          <w:lang w:val="fr-FR"/>
        </w:rPr>
        <w:t>[Faut-il mettre un mot de passe ?]</w:t>
      </w:r>
      <w:r>
        <w:rPr>
          <w:lang w:val="fr-FR"/>
        </w:rPr>
        <w:t xml:space="preserve">. Un palier est atteint en fonction des consommations mensuelles dans les restaurants de la </w:t>
      </w:r>
      <w:r w:rsidR="00467306" w:rsidRPr="00467306">
        <w:rPr>
          <w:lang w:val="fr-FR"/>
        </w:rPr>
        <w:t>chaîne</w:t>
      </w:r>
      <w:r>
        <w:rPr>
          <w:lang w:val="fr-FR"/>
        </w:rPr>
        <w:t xml:space="preserve">. Chaque montant dépensé représente un nombre de point qui se cumule sur les trente derniers jours et permet de monter entre bronze-argent-or-platine. Chaque catégorie offre </w:t>
      </w:r>
      <w:r w:rsidR="00957727">
        <w:rPr>
          <w:lang w:val="fr-FR"/>
        </w:rPr>
        <w:t>un choix de</w:t>
      </w:r>
      <w:r>
        <w:rPr>
          <w:lang w:val="fr-FR"/>
        </w:rPr>
        <w:t xml:space="preserve"> promotions aux membres qui en font partie. </w:t>
      </w:r>
    </w:p>
    <w:p w14:paraId="7ED78CB2" w14:textId="2E3D8772" w:rsidR="0015396C" w:rsidRDefault="0015396C">
      <w:pPr>
        <w:rPr>
          <w:lang w:val="fr-FR"/>
        </w:rPr>
      </w:pPr>
      <w:r>
        <w:rPr>
          <w:lang w:val="fr-FR"/>
        </w:rPr>
        <w:br w:type="page"/>
      </w:r>
    </w:p>
    <w:p w14:paraId="21ED4A7D" w14:textId="7868A49B" w:rsidR="0015396C" w:rsidRPr="0015396C" w:rsidRDefault="0015396C" w:rsidP="00467306">
      <w:pPr>
        <w:jc w:val="both"/>
        <w:rPr>
          <w:sz w:val="24"/>
          <w:szCs w:val="24"/>
          <w:lang w:val="fr-FR"/>
        </w:rPr>
      </w:pPr>
      <w:r w:rsidRPr="0015396C">
        <w:rPr>
          <w:b/>
          <w:bCs/>
          <w:sz w:val="32"/>
          <w:szCs w:val="32"/>
          <w:u w:val="single"/>
          <w:lang w:val="fr-FR"/>
        </w:rPr>
        <w:lastRenderedPageBreak/>
        <w:t>Modèle entité-association :</w:t>
      </w:r>
      <w:r>
        <w:rPr>
          <w:sz w:val="24"/>
          <w:szCs w:val="24"/>
          <w:lang w:val="fr-FR"/>
        </w:rPr>
        <w:t xml:space="preserve"> (provisoire)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396C" w14:paraId="3722F36B" w14:textId="77777777" w:rsidTr="0015396C">
        <w:tc>
          <w:tcPr>
            <w:tcW w:w="9016" w:type="dxa"/>
          </w:tcPr>
          <w:p w14:paraId="32BA7B8F" w14:textId="605F4DB3" w:rsidR="0015396C" w:rsidRDefault="0015396C" w:rsidP="00467306">
            <w:pPr>
              <w:jc w:val="both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39253402" wp14:editId="379814B6">
                  <wp:extent cx="5724525" cy="39147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154EAF" w14:textId="55F1DCA6" w:rsidR="008E234C" w:rsidRDefault="008E234C" w:rsidP="00467306">
      <w:pPr>
        <w:jc w:val="both"/>
        <w:rPr>
          <w:lang w:val="fr-FR"/>
        </w:rPr>
      </w:pPr>
    </w:p>
    <w:sectPr w:rsidR="008E234C" w:rsidSect="000C1FA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3ABA8" w14:textId="77777777" w:rsidR="00CD19C6" w:rsidRDefault="00CD19C6" w:rsidP="008B6283">
      <w:pPr>
        <w:spacing w:after="0" w:line="240" w:lineRule="auto"/>
      </w:pPr>
      <w:r>
        <w:separator/>
      </w:r>
    </w:p>
  </w:endnote>
  <w:endnote w:type="continuationSeparator" w:id="0">
    <w:p w14:paraId="1B0675C3" w14:textId="77777777" w:rsidR="00CD19C6" w:rsidRDefault="00CD19C6" w:rsidP="008B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4B591" w14:textId="77777777" w:rsidR="00CD19C6" w:rsidRDefault="00CD19C6" w:rsidP="008B6283">
      <w:pPr>
        <w:spacing w:after="0" w:line="240" w:lineRule="auto"/>
      </w:pPr>
      <w:r>
        <w:separator/>
      </w:r>
    </w:p>
  </w:footnote>
  <w:footnote w:type="continuationSeparator" w:id="0">
    <w:p w14:paraId="491DCD90" w14:textId="77777777" w:rsidR="00CD19C6" w:rsidRDefault="00CD19C6" w:rsidP="008B6283">
      <w:pPr>
        <w:spacing w:after="0" w:line="240" w:lineRule="auto"/>
      </w:pPr>
      <w:r>
        <w:continuationSeparator/>
      </w:r>
    </w:p>
  </w:footnote>
  <w:footnote w:id="1">
    <w:p w14:paraId="00409F3E" w14:textId="77777777" w:rsidR="007A651C" w:rsidRPr="008B6283" w:rsidRDefault="007A651C" w:rsidP="007A651C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FR"/>
        </w:rPr>
        <w:t>Les paliers seront à déterminer et modifiables par client et uniquement modifié par une certaine catégorie de travailleurs.</w:t>
      </w:r>
    </w:p>
  </w:footnote>
  <w:footnote w:id="2">
    <w:p w14:paraId="4A29C38C" w14:textId="77777777" w:rsidR="007A651C" w:rsidRPr="00C4448A" w:rsidRDefault="007A651C" w:rsidP="007A651C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FR"/>
        </w:rPr>
        <w:t xml:space="preserve">Il faudrait donc ajouter le statut de la personne sur le formulaire. Et permettre la modification de statut par n’importe quel travailleur à chaque passage si besoin. </w:t>
      </w:r>
      <w:r w:rsidRPr="00815633">
        <w:rPr>
          <w:i/>
          <w:iCs/>
          <w:lang w:val="fr-FR"/>
        </w:rPr>
        <w:t>Exemple : Au cas où le client préfèrerait profiter de la promotion ambassadeur une fois et de la réduction étudiant la fois suivante.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7D165" w14:textId="289C6C90" w:rsidR="009C116D" w:rsidRDefault="009C116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3FD9ADF" wp14:editId="032B063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80E68E" w14:textId="326DE508" w:rsidR="009C116D" w:rsidRDefault="009C116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Mex&amp;Go : Domaine d’application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3FD9ADF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F80E68E" w14:textId="326DE508" w:rsidR="009C116D" w:rsidRDefault="009C116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Mex&amp;Go : Domaine d’application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483E"/>
    <w:multiLevelType w:val="hybridMultilevel"/>
    <w:tmpl w:val="570A6F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4B8A"/>
    <w:multiLevelType w:val="hybridMultilevel"/>
    <w:tmpl w:val="491885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42"/>
    <w:rsid w:val="00004D2B"/>
    <w:rsid w:val="000379BD"/>
    <w:rsid w:val="000C1F82"/>
    <w:rsid w:val="000C1FAC"/>
    <w:rsid w:val="000C3974"/>
    <w:rsid w:val="000C5A9B"/>
    <w:rsid w:val="000D3164"/>
    <w:rsid w:val="00105BC5"/>
    <w:rsid w:val="001457D9"/>
    <w:rsid w:val="0015396C"/>
    <w:rsid w:val="001753F1"/>
    <w:rsid w:val="00175F1A"/>
    <w:rsid w:val="001955CF"/>
    <w:rsid w:val="001D5819"/>
    <w:rsid w:val="002414FD"/>
    <w:rsid w:val="00253735"/>
    <w:rsid w:val="00276261"/>
    <w:rsid w:val="002A41B6"/>
    <w:rsid w:val="002C7C48"/>
    <w:rsid w:val="002D24E8"/>
    <w:rsid w:val="002D7AAE"/>
    <w:rsid w:val="0030113A"/>
    <w:rsid w:val="0032151F"/>
    <w:rsid w:val="003422D6"/>
    <w:rsid w:val="00343F7A"/>
    <w:rsid w:val="0035049D"/>
    <w:rsid w:val="00367145"/>
    <w:rsid w:val="003A1609"/>
    <w:rsid w:val="003A3F30"/>
    <w:rsid w:val="003F60EC"/>
    <w:rsid w:val="00403A3F"/>
    <w:rsid w:val="0040503F"/>
    <w:rsid w:val="00405D35"/>
    <w:rsid w:val="00422704"/>
    <w:rsid w:val="004572D8"/>
    <w:rsid w:val="00467306"/>
    <w:rsid w:val="0049285D"/>
    <w:rsid w:val="004A1893"/>
    <w:rsid w:val="004D4530"/>
    <w:rsid w:val="004E48BC"/>
    <w:rsid w:val="00531215"/>
    <w:rsid w:val="0053172D"/>
    <w:rsid w:val="00532999"/>
    <w:rsid w:val="005B2B3E"/>
    <w:rsid w:val="005B3EA0"/>
    <w:rsid w:val="005C5D65"/>
    <w:rsid w:val="005F0ACB"/>
    <w:rsid w:val="0060650E"/>
    <w:rsid w:val="0061143A"/>
    <w:rsid w:val="006166A2"/>
    <w:rsid w:val="006216BE"/>
    <w:rsid w:val="00647430"/>
    <w:rsid w:val="00657283"/>
    <w:rsid w:val="0069351C"/>
    <w:rsid w:val="006B6949"/>
    <w:rsid w:val="006E6399"/>
    <w:rsid w:val="007120D5"/>
    <w:rsid w:val="00746FF7"/>
    <w:rsid w:val="00747A34"/>
    <w:rsid w:val="00766D37"/>
    <w:rsid w:val="007A651C"/>
    <w:rsid w:val="007B6E93"/>
    <w:rsid w:val="00815633"/>
    <w:rsid w:val="0087714A"/>
    <w:rsid w:val="008906A7"/>
    <w:rsid w:val="008B6283"/>
    <w:rsid w:val="008E234C"/>
    <w:rsid w:val="009524ED"/>
    <w:rsid w:val="00957727"/>
    <w:rsid w:val="009A0242"/>
    <w:rsid w:val="009C116D"/>
    <w:rsid w:val="009C460F"/>
    <w:rsid w:val="009F4AC3"/>
    <w:rsid w:val="00A62236"/>
    <w:rsid w:val="00A67B4A"/>
    <w:rsid w:val="00A7479D"/>
    <w:rsid w:val="00A925B2"/>
    <w:rsid w:val="00AB7F67"/>
    <w:rsid w:val="00AC2E40"/>
    <w:rsid w:val="00AD19A1"/>
    <w:rsid w:val="00B43CA1"/>
    <w:rsid w:val="00B84598"/>
    <w:rsid w:val="00B86D17"/>
    <w:rsid w:val="00BC0387"/>
    <w:rsid w:val="00BC62A4"/>
    <w:rsid w:val="00BF2731"/>
    <w:rsid w:val="00C03B96"/>
    <w:rsid w:val="00C169C1"/>
    <w:rsid w:val="00C4448A"/>
    <w:rsid w:val="00CD19C6"/>
    <w:rsid w:val="00CD42E6"/>
    <w:rsid w:val="00CE3DC9"/>
    <w:rsid w:val="00CE585A"/>
    <w:rsid w:val="00CF651A"/>
    <w:rsid w:val="00D22411"/>
    <w:rsid w:val="00E36D03"/>
    <w:rsid w:val="00EC3B3E"/>
    <w:rsid w:val="00EF692D"/>
    <w:rsid w:val="00EF7642"/>
    <w:rsid w:val="00F147D4"/>
    <w:rsid w:val="00F17486"/>
    <w:rsid w:val="00F3511C"/>
    <w:rsid w:val="00F42483"/>
    <w:rsid w:val="00F72AC5"/>
    <w:rsid w:val="00F738F8"/>
    <w:rsid w:val="00FC2DCB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53EE81"/>
  <w15:chartTrackingRefBased/>
  <w15:docId w15:val="{F9217C62-4269-4354-966A-8CD5D1D1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13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B62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62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2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1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16D"/>
  </w:style>
  <w:style w:type="paragraph" w:styleId="Footer">
    <w:name w:val="footer"/>
    <w:basedOn w:val="Normal"/>
    <w:link w:val="FooterChar"/>
    <w:uiPriority w:val="99"/>
    <w:unhideWhenUsed/>
    <w:rsid w:val="009C1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BF463-2EB4-402C-A618-00BE17A6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Mex&amp;Go : Domaine d’application</vt:lpstr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Mex&amp;Go : Domaine d’application</dc:title>
  <dc:subject/>
  <dc:creator>Georges Hoebrechts</dc:creator>
  <cp:keywords/>
  <dc:description/>
  <cp:lastModifiedBy>Georges Hoebrechts</cp:lastModifiedBy>
  <cp:revision>5</cp:revision>
  <dcterms:created xsi:type="dcterms:W3CDTF">2022-02-10T14:35:00Z</dcterms:created>
  <dcterms:modified xsi:type="dcterms:W3CDTF">2022-02-11T15:29:00Z</dcterms:modified>
</cp:coreProperties>
</file>