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A2B4A"/>
          <w:sz w:val="48"/>
        </w:rPr>
        <w:t>CONTRACT NEGOTIATION AGENT</w:t>
      </w:r>
    </w:p>
    <w:p>
      <w:pPr>
        <w:jc w:val="center"/>
      </w:pPr>
      <w:r>
        <w:rPr>
          <w:b/>
          <w:color w:val="E86C1E"/>
          <w:sz w:val="28"/>
        </w:rPr>
        <w:t>High-Level Solution Approach Document</w:t>
      </w:r>
    </w:p>
    <w:p/>
    <w:p>
      <w:pPr>
        <w:pBdr>
          <w:bottom w:val="single" w:sz="6" w:space="1" w:color="E86C1E"/>
        </w:pBdr>
        <w:spacing w:after="120" w:before="0"/>
      </w:pPr>
    </w:p>
    <w:p>
      <w:pPr>
        <w:jc w:val="center"/>
      </w:pPr>
      <w:r>
        <w:rPr>
          <w:b/>
          <w:color w:val="1A2B4A"/>
          <w:sz w:val="20"/>
        </w:rPr>
        <w:t xml:space="preserve">Document Version:  </w:t>
      </w:r>
      <w:r>
        <w:rPr>
          <w:color w:val="5A5A5A"/>
          <w:sz w:val="20"/>
        </w:rPr>
        <w:t>1.0</w:t>
      </w:r>
    </w:p>
    <w:p>
      <w:pPr>
        <w:jc w:val="center"/>
      </w:pPr>
      <w:r>
        <w:rPr>
          <w:b/>
          <w:color w:val="1A2B4A"/>
          <w:sz w:val="20"/>
        </w:rPr>
        <w:t xml:space="preserve">Date:  </w:t>
      </w:r>
      <w:r>
        <w:rPr>
          <w:color w:val="5A5A5A"/>
          <w:sz w:val="20"/>
        </w:rPr>
        <w:t>03 April 2026</w:t>
      </w:r>
    </w:p>
    <w:p>
      <w:pPr>
        <w:jc w:val="center"/>
      </w:pPr>
      <w:r>
        <w:rPr>
          <w:b/>
          <w:color w:val="1A2B4A"/>
          <w:sz w:val="20"/>
        </w:rPr>
        <w:t xml:space="preserve">Status:  </w:t>
      </w:r>
      <w:r>
        <w:rPr>
          <w:color w:val="5A5A5A"/>
          <w:sz w:val="20"/>
        </w:rPr>
        <w:t>Draft for Review</w:t>
      </w:r>
    </w:p>
    <w:p>
      <w:pPr>
        <w:jc w:val="center"/>
      </w:pPr>
      <w:r>
        <w:rPr>
          <w:b/>
          <w:color w:val="1A2B4A"/>
          <w:sz w:val="20"/>
        </w:rPr>
        <w:t xml:space="preserve">Prepared by:  </w:t>
      </w:r>
      <w:r>
        <w:rPr>
          <w:color w:val="5A5A5A"/>
          <w:sz w:val="20"/>
        </w:rPr>
        <w:t>Solution Architecture Team</w:t>
      </w:r>
    </w:p>
    <w:p>
      <w:pPr>
        <w:jc w:val="center"/>
      </w:pPr>
      <w:r>
        <w:rPr>
          <w:b/>
          <w:color w:val="1A2B4A"/>
          <w:sz w:val="20"/>
        </w:rPr>
        <w:t xml:space="preserve">Classification:  </w:t>
      </w:r>
      <w:r>
        <w:rPr>
          <w:color w:val="5A5A5A"/>
          <w:sz w:val="20"/>
        </w:rPr>
        <w:t>Internal / Confidential</w:t>
      </w:r>
    </w:p>
    <w:p>
      <w:r>
        <w:br w:type="page"/>
      </w:r>
    </w:p>
    <w:p>
      <w:pPr>
        <w:spacing w:before="360" w:after="80"/>
      </w:pPr>
      <w:r>
        <w:rPr>
          <w:b/>
          <w:color w:val="1A2B4A"/>
          <w:sz w:val="28"/>
        </w:rPr>
        <w:t>1. EXECUTIVE SUMMARY</w:t>
      </w:r>
    </w:p>
    <w:p>
      <w:pPr>
        <w:pBdr>
          <w:bottom w:val="single" w:sz="6" w:space="1" w:color="E86C1E"/>
        </w:pBdr>
        <w:spacing w:after="120" w:before="0"/>
      </w:pPr>
    </w:p>
    <w:p>
      <w:pPr>
        <w:spacing w:after="120" w:before="0"/>
      </w:pPr>
      <w:r>
        <w:rPr>
          <w:color w:val="5A5A5A"/>
          <w:sz w:val="20"/>
        </w:rPr>
        <w:t>The Contract Negotiation Agent is an AI-powered platform that automates and optimises the negotiation of Statement of Work (SOW) contracts for professional IT services. By combining Claude (Anthropic's large language model) with proprietary market-rate benchmarks and a continuous-learning feedback loop, the system enables procurement and commercial teams to negotiate vendor contracts faster, more consistently, and at significantly lower cost than traditional manual processes.</w:t>
      </w:r>
    </w:p>
    <w:p>
      <w:pPr>
        <w:spacing w:after="120" w:before="0"/>
      </w:pPr>
      <w:r>
        <w:rPr>
          <w:color w:val="5A5A5A"/>
          <w:sz w:val="20"/>
        </w:rPr>
        <w:t>The platform operates as a digital commercial negotiator — analysing vendor submissions, positioning offers against market data, and engaging vendors in structured multi-turn negotiations — while keeping human approvers in control of the final decision.</w:t>
      </w:r>
    </w:p>
    <w:p>
      <w:pPr>
        <w:spacing w:before="360" w:after="80"/>
      </w:pPr>
      <w:r>
        <w:rPr>
          <w:b/>
          <w:color w:val="1A2B4A"/>
          <w:sz w:val="28"/>
        </w:rPr>
        <w:t>2. BUSINESS PROBLEM STATEMENT</w:t>
      </w:r>
    </w:p>
    <w:p>
      <w:pPr>
        <w:pBdr>
          <w:bottom w:val="single" w:sz="6" w:space="1" w:color="E86C1E"/>
        </w:pBdr>
        <w:spacing w:after="120" w:before="0"/>
      </w:pPr>
    </w:p>
    <w:p>
      <w:pPr>
        <w:spacing w:before="240" w:after="40"/>
      </w:pPr>
      <w:r>
        <w:rPr>
          <w:b/>
          <w:color w:val="E86C1E"/>
          <w:sz w:val="22"/>
        </w:rPr>
        <w:t>2.1  The Challenge</w:t>
      </w:r>
    </w:p>
    <w:p>
      <w:pPr>
        <w:spacing w:after="120" w:before="0"/>
      </w:pPr>
      <w:r>
        <w:rPr>
          <w:color w:val="5A5A5A"/>
          <w:sz w:val="20"/>
        </w:rPr>
        <w:t>Enterprise organisations engage hundreds of IT vendors annually, each submitting bespoke SOW documents containing complex rate cards, payment schedules, liability clauses, and intellectual-property terms. Negotiating these contracts manually creates four interconnected problems:</w:t>
      </w:r>
    </w:p>
    <w:p>
      <w:pPr>
        <w:pStyle w:val="ListBullet"/>
        <w:spacing w:after="80"/>
      </w:pPr>
      <w:r>
        <w:rPr>
          <w:b/>
          <w:color w:val="1A2B4A"/>
          <w:sz w:val="20"/>
        </w:rPr>
        <w:t xml:space="preserve">Cost Leakage: </w:t>
      </w:r>
      <w:r>
        <w:rPr>
          <w:color w:val="5A5A5A"/>
          <w:sz w:val="20"/>
        </w:rPr>
        <w:t>Procurement teams lack real-time access to market-rate benchmarks, meaning vendor-proposed rates are often accepted with minimal challenge. Industry studies indicate that 60–70% of IT service contracts are signed at rates 10–30% above market median — representing millions of pounds in avoidable spend.</w:t>
      </w:r>
    </w:p>
    <w:p>
      <w:pPr>
        <w:pStyle w:val="ListBullet"/>
        <w:spacing w:after="80"/>
      </w:pPr>
      <w:r>
        <w:rPr>
          <w:b/>
          <w:color w:val="1A2B4A"/>
          <w:sz w:val="20"/>
        </w:rPr>
        <w:t xml:space="preserve">Inconsistency: </w:t>
      </w:r>
      <w:r>
        <w:rPr>
          <w:color w:val="5A5A5A"/>
          <w:sz w:val="20"/>
        </w:rPr>
        <w:t>Negotiation outcomes depend heavily on the experience and availability of individual negotiators. Different buyers accept different rate levels for identical roles, creating inequitable spend profiles and audit risk.</w:t>
      </w:r>
    </w:p>
    <w:p>
      <w:pPr>
        <w:pStyle w:val="ListBullet"/>
        <w:spacing w:after="80"/>
      </w:pPr>
      <w:r>
        <w:rPr>
          <w:b/>
          <w:color w:val="1A2B4A"/>
          <w:sz w:val="20"/>
        </w:rPr>
        <w:t xml:space="preserve">Capacity Constraints: </w:t>
      </w:r>
      <w:r>
        <w:rPr>
          <w:color w:val="5A5A5A"/>
          <w:sz w:val="20"/>
        </w:rPr>
        <w:t>Commercial and legal teams are bottlenecks. Low-value or repeat-supplier contracts receive the same slow, resource-intensive treatment as strategic engagements, delaying project starts and frustrating stakeholders.</w:t>
      </w:r>
    </w:p>
    <w:p>
      <w:pPr>
        <w:pStyle w:val="ListBullet"/>
        <w:spacing w:after="80"/>
      </w:pPr>
      <w:r>
        <w:rPr>
          <w:b/>
          <w:color w:val="1A2B4A"/>
          <w:sz w:val="20"/>
        </w:rPr>
        <w:t xml:space="preserve">Knowledge Loss: </w:t>
      </w:r>
      <w:r>
        <w:rPr>
          <w:color w:val="5A5A5A"/>
          <w:sz w:val="20"/>
        </w:rPr>
        <w:t>Negotiation outcomes and lessons learned are captured informally (email, spreadsheets) or not at all. Each engagement effectively starts from scratch, with no institutional memory to guide future strategy.</w:t>
      </w:r>
    </w:p>
    <w:p>
      <w:pPr>
        <w:spacing w:before="240" w:after="40"/>
      </w:pPr>
      <w:r>
        <w:rPr>
          <w:b/>
          <w:color w:val="E86C1E"/>
          <w:sz w:val="22"/>
        </w:rPr>
        <w:t>2.2  Business Impact (Illustrative)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1A2B4A"/>
            <w:vAlign w:val="center"/>
          </w:tcPr>
          <w:p>
            <w:pPr>
              <w:spacing w:after="60" w:before="60"/>
            </w:pPr>
            <w:r>
              <w:rPr>
                <w:b/>
                <w:color w:val="FFFFFF"/>
                <w:sz w:val="18"/>
              </w:rPr>
              <w:t>Metric</w:t>
            </w:r>
          </w:p>
        </w:tc>
        <w:tc>
          <w:tcPr>
            <w:tcW w:type="dxa" w:w="2340"/>
            <w:shd w:val="clear" w:color="auto" w:fill="1A2B4A"/>
            <w:vAlign w:val="center"/>
          </w:tcPr>
          <w:p>
            <w:pPr>
              <w:spacing w:after="60" w:before="60"/>
            </w:pPr>
            <w:r>
              <w:rPr>
                <w:b/>
                <w:color w:val="FFFFFF"/>
                <w:sz w:val="18"/>
              </w:rPr>
              <w:t>Current State</w:t>
            </w:r>
          </w:p>
        </w:tc>
        <w:tc>
          <w:tcPr>
            <w:tcW w:type="dxa" w:w="2340"/>
            <w:shd w:val="clear" w:color="auto" w:fill="1A2B4A"/>
            <w:vAlign w:val="center"/>
          </w:tcPr>
          <w:p>
            <w:pPr>
              <w:spacing w:after="60" w:before="60"/>
            </w:pPr>
            <w:r>
              <w:rPr>
                <w:b/>
                <w:color w:val="FFFFFF"/>
                <w:sz w:val="18"/>
              </w:rPr>
              <w:t>Target State</w:t>
            </w:r>
          </w:p>
        </w:tc>
        <w:tc>
          <w:tcPr>
            <w:tcW w:type="dxa" w:w="2340"/>
            <w:shd w:val="clear" w:color="auto" w:fill="1A2B4A"/>
            <w:vAlign w:val="center"/>
          </w:tcPr>
          <w:p>
            <w:pPr>
              <w:spacing w:after="60" w:before="60"/>
            </w:pPr>
            <w:r>
              <w:rPr>
                <w:b/>
                <w:color w:val="FFFFFF"/>
                <w:sz w:val="18"/>
              </w:rPr>
              <w:t>Potential Saving</w:t>
            </w:r>
          </w:p>
        </w:tc>
      </w:tr>
      <w:tr>
        <w:tc>
          <w:tcPr>
            <w:tcW w:type="dxa" w:w="2340"/>
            <w:shd w:val="clear" w:color="auto" w:fill="F5F5F5"/>
          </w:tcPr>
          <w:p>
            <w:pPr>
              <w:spacing w:after="60" w:before="60"/>
            </w:pPr>
            <w:r>
              <w:rPr>
                <w:color w:val="5A5A5A"/>
                <w:sz w:val="18"/>
              </w:rPr>
              <w:t>Average rate vs. market median</w:t>
            </w:r>
          </w:p>
        </w:tc>
        <w:tc>
          <w:tcPr>
            <w:tcW w:type="dxa" w:w="2340"/>
            <w:shd w:val="clear" w:color="auto" w:fill="F5F5F5"/>
          </w:tcPr>
          <w:p>
            <w:pPr>
              <w:spacing w:after="60" w:before="60"/>
            </w:pPr>
            <w:r>
              <w:rPr>
                <w:color w:val="5A5A5A"/>
                <w:sz w:val="18"/>
              </w:rPr>
              <w:t>+18% above p50</w:t>
            </w:r>
          </w:p>
        </w:tc>
        <w:tc>
          <w:tcPr>
            <w:tcW w:type="dxa" w:w="2340"/>
            <w:shd w:val="clear" w:color="auto" w:fill="F5F5F5"/>
          </w:tcPr>
          <w:p>
            <w:pPr>
              <w:spacing w:after="60" w:before="60"/>
            </w:pPr>
            <w:r>
              <w:rPr>
                <w:color w:val="5A5A5A"/>
                <w:sz w:val="18"/>
              </w:rPr>
              <w:t>At p50–p75</w:t>
            </w:r>
          </w:p>
        </w:tc>
        <w:tc>
          <w:tcPr>
            <w:tcW w:type="dxa" w:w="2340"/>
            <w:shd w:val="clear" w:color="auto" w:fill="F5F5F5"/>
          </w:tcPr>
          <w:p>
            <w:pPr>
              <w:spacing w:after="60" w:before="60"/>
            </w:pPr>
            <w:r>
              <w:rPr>
                <w:color w:val="5A5A5A"/>
                <w:sz w:val="18"/>
              </w:rPr>
              <w:t>10–18% rate reduction</w:t>
            </w:r>
          </w:p>
        </w:tc>
      </w:tr>
      <w:tr>
        <w:tc>
          <w:tcPr>
            <w:tcW w:type="dxa" w:w="2340"/>
            <w:shd w:val="clear" w:color="auto" w:fill="FFFFFF"/>
          </w:tcPr>
          <w:p>
            <w:pPr>
              <w:spacing w:after="60" w:before="60"/>
            </w:pPr>
            <w:r>
              <w:rPr>
                <w:color w:val="5A5A5A"/>
                <w:sz w:val="18"/>
              </w:rPr>
              <w:t>Time to first counter-offer</w:t>
            </w:r>
          </w:p>
        </w:tc>
        <w:tc>
          <w:tcPr>
            <w:tcW w:type="dxa" w:w="2340"/>
            <w:shd w:val="clear" w:color="auto" w:fill="FFFFFF"/>
          </w:tcPr>
          <w:p>
            <w:pPr>
              <w:spacing w:after="60" w:before="60"/>
            </w:pPr>
            <w:r>
              <w:rPr>
                <w:color w:val="5A5A5A"/>
                <w:sz w:val="18"/>
              </w:rPr>
              <w:t>3–5 business days</w:t>
            </w:r>
          </w:p>
        </w:tc>
        <w:tc>
          <w:tcPr>
            <w:tcW w:type="dxa" w:w="2340"/>
            <w:shd w:val="clear" w:color="auto" w:fill="FFFFFF"/>
          </w:tcPr>
          <w:p>
            <w:pPr>
              <w:spacing w:after="60" w:before="60"/>
            </w:pPr>
            <w:r>
              <w:rPr>
                <w:color w:val="5A5A5A"/>
                <w:sz w:val="18"/>
              </w:rPr>
              <w:t>&lt; 30 minutes</w:t>
            </w:r>
          </w:p>
        </w:tc>
        <w:tc>
          <w:tcPr>
            <w:tcW w:type="dxa" w:w="2340"/>
            <w:shd w:val="clear" w:color="auto" w:fill="FFFFFF"/>
          </w:tcPr>
          <w:p>
            <w:pPr>
              <w:spacing w:after="60" w:before="60"/>
            </w:pPr>
            <w:r>
              <w:rPr>
                <w:color w:val="5A5A5A"/>
                <w:sz w:val="18"/>
              </w:rPr>
              <w:t>~97% reduction</w:t>
            </w:r>
          </w:p>
        </w:tc>
      </w:tr>
      <w:tr>
        <w:tc>
          <w:tcPr>
            <w:tcW w:type="dxa" w:w="2340"/>
            <w:shd w:val="clear" w:color="auto" w:fill="F5F5F5"/>
          </w:tcPr>
          <w:p>
            <w:pPr>
              <w:spacing w:after="60" w:before="60"/>
            </w:pPr>
            <w:r>
              <w:rPr>
                <w:color w:val="5A5A5A"/>
                <w:sz w:val="18"/>
              </w:rPr>
              <w:t>Contracts negotiated per FTE/month</w:t>
            </w:r>
          </w:p>
        </w:tc>
        <w:tc>
          <w:tcPr>
            <w:tcW w:type="dxa" w:w="2340"/>
            <w:shd w:val="clear" w:color="auto" w:fill="F5F5F5"/>
          </w:tcPr>
          <w:p>
            <w:pPr>
              <w:spacing w:after="60" w:before="60"/>
            </w:pPr>
            <w:r>
              <w:rPr>
                <w:color w:val="5A5A5A"/>
                <w:sz w:val="18"/>
              </w:rPr>
              <w:t>8–12</w:t>
            </w:r>
          </w:p>
        </w:tc>
        <w:tc>
          <w:tcPr>
            <w:tcW w:type="dxa" w:w="2340"/>
            <w:shd w:val="clear" w:color="auto" w:fill="F5F5F5"/>
          </w:tcPr>
          <w:p>
            <w:pPr>
              <w:spacing w:after="60" w:before="60"/>
            </w:pPr>
            <w:r>
              <w:rPr>
                <w:color w:val="5A5A5A"/>
                <w:sz w:val="18"/>
              </w:rPr>
              <w:t>40–60 (AI-assisted)</w:t>
            </w:r>
          </w:p>
        </w:tc>
        <w:tc>
          <w:tcPr>
            <w:tcW w:type="dxa" w:w="2340"/>
            <w:shd w:val="clear" w:color="auto" w:fill="F5F5F5"/>
          </w:tcPr>
          <w:p>
            <w:pPr>
              <w:spacing w:after="60" w:before="60"/>
            </w:pPr>
            <w:r>
              <w:rPr>
                <w:color w:val="5A5A5A"/>
                <w:sz w:val="18"/>
              </w:rPr>
              <w:t>4–5× throughput</w:t>
            </w:r>
          </w:p>
        </w:tc>
      </w:tr>
      <w:tr>
        <w:tc>
          <w:tcPr>
            <w:tcW w:type="dxa" w:w="2340"/>
            <w:shd w:val="clear" w:color="auto" w:fill="FFFFFF"/>
          </w:tcPr>
          <w:p>
            <w:pPr>
              <w:spacing w:after="60" w:before="60"/>
            </w:pPr>
            <w:r>
              <w:rPr>
                <w:color w:val="5A5A5A"/>
                <w:sz w:val="18"/>
              </w:rPr>
              <w:t>Negotiation outcome consistency</w:t>
            </w:r>
          </w:p>
        </w:tc>
        <w:tc>
          <w:tcPr>
            <w:tcW w:type="dxa" w:w="2340"/>
            <w:shd w:val="clear" w:color="auto" w:fill="FFFFFF"/>
          </w:tcPr>
          <w:p>
            <w:pPr>
              <w:spacing w:after="60" w:before="60"/>
            </w:pPr>
            <w:r>
              <w:rPr>
                <w:color w:val="5A5A5A"/>
                <w:sz w:val="18"/>
              </w:rPr>
              <w:t>High variance</w:t>
            </w:r>
          </w:p>
        </w:tc>
        <w:tc>
          <w:tcPr>
            <w:tcW w:type="dxa" w:w="2340"/>
            <w:shd w:val="clear" w:color="auto" w:fill="FFFFFF"/>
          </w:tcPr>
          <w:p>
            <w:pPr>
              <w:spacing w:after="60" w:before="60"/>
            </w:pPr>
            <w:r>
              <w:rPr>
                <w:color w:val="5A5A5A"/>
                <w:sz w:val="18"/>
              </w:rPr>
              <w:t>Standardised</w:t>
            </w:r>
          </w:p>
        </w:tc>
        <w:tc>
          <w:tcPr>
            <w:tcW w:type="dxa" w:w="2340"/>
            <w:shd w:val="clear" w:color="auto" w:fill="FFFFFF"/>
          </w:tcPr>
          <w:p>
            <w:pPr>
              <w:spacing w:after="60" w:before="60"/>
            </w:pPr>
            <w:r>
              <w:rPr>
                <w:color w:val="5A5A5A"/>
                <w:sz w:val="18"/>
              </w:rPr>
              <w:t>Audit-ready</w:t>
            </w:r>
          </w:p>
        </w:tc>
      </w:tr>
      <w:tr>
        <w:tc>
          <w:tcPr>
            <w:tcW w:type="dxa" w:w="2340"/>
            <w:shd w:val="clear" w:color="auto" w:fill="F5F5F5"/>
          </w:tcPr>
          <w:p>
            <w:pPr>
              <w:spacing w:after="60" w:before="60"/>
            </w:pPr>
            <w:r>
              <w:rPr>
                <w:color w:val="5A5A5A"/>
                <w:sz w:val="18"/>
              </w:rPr>
              <w:t>Knowledge retention</w:t>
            </w:r>
          </w:p>
        </w:tc>
        <w:tc>
          <w:tcPr>
            <w:tcW w:type="dxa" w:w="2340"/>
            <w:shd w:val="clear" w:color="auto" w:fill="F5F5F5"/>
          </w:tcPr>
          <w:p>
            <w:pPr>
              <w:spacing w:after="60" w:before="60"/>
            </w:pPr>
            <w:r>
              <w:rPr>
                <w:color w:val="5A5A5A"/>
                <w:sz w:val="18"/>
              </w:rPr>
              <w:t>Informal / lost</w:t>
            </w:r>
          </w:p>
        </w:tc>
        <w:tc>
          <w:tcPr>
            <w:tcW w:type="dxa" w:w="2340"/>
            <w:shd w:val="clear" w:color="auto" w:fill="F5F5F5"/>
          </w:tcPr>
          <w:p>
            <w:pPr>
              <w:spacing w:after="60" w:before="60"/>
            </w:pPr>
            <w:r>
              <w:rPr>
                <w:color w:val="5A5A5A"/>
                <w:sz w:val="18"/>
              </w:rPr>
              <w:t>Structured &amp; searchable</w:t>
            </w:r>
          </w:p>
        </w:tc>
        <w:tc>
          <w:tcPr>
            <w:tcW w:type="dxa" w:w="2340"/>
            <w:shd w:val="clear" w:color="auto" w:fill="F5F5F5"/>
          </w:tcPr>
          <w:p>
            <w:pPr>
              <w:spacing w:after="60" w:before="60"/>
            </w:pPr>
            <w:r>
              <w:rPr>
                <w:color w:val="5A5A5A"/>
                <w:sz w:val="18"/>
              </w:rPr>
              <w:t>Continuous improvement</w:t>
            </w:r>
          </w:p>
        </w:tc>
      </w:tr>
    </w:tbl>
    <w:p/>
    <w:p>
      <w:pPr>
        <w:spacing w:before="360" w:after="80"/>
      </w:pPr>
      <w:r>
        <w:rPr>
          <w:b/>
          <w:color w:val="1A2B4A"/>
          <w:sz w:val="28"/>
        </w:rPr>
        <w:t>3. SOLUTION OVERVIEW</w:t>
      </w:r>
    </w:p>
    <w:p>
      <w:pPr>
        <w:pBdr>
          <w:bottom w:val="single" w:sz="6" w:space="1" w:color="E86C1E"/>
        </w:pBdr>
        <w:spacing w:after="120" w:before="0"/>
      </w:pPr>
    </w:p>
    <w:p>
      <w:pPr>
        <w:spacing w:after="120" w:before="0"/>
      </w:pPr>
      <w:r>
        <w:rPr>
          <w:color w:val="5A5A5A"/>
          <w:sz w:val="20"/>
        </w:rPr>
        <w:t>The Contract Negotiation Agent is a full-stack web application that guides a contract through five automated stages, with a human approval gate at the end.</w:t>
      </w:r>
    </w:p>
    <w:p>
      <w:pPr>
        <w:pStyle w:val="ListNumber"/>
        <w:spacing w:after="100"/>
      </w:pPr>
      <w:r>
        <w:rPr>
          <w:b/>
          <w:color w:val="E86C1E"/>
          <w:sz w:val="20"/>
        </w:rPr>
        <w:t xml:space="preserve">Stage 1 — Document Ingestion:  </w:t>
      </w:r>
      <w:r>
        <w:rPr>
          <w:color w:val="5A5A5A"/>
          <w:sz w:val="20"/>
        </w:rPr>
        <w:t>The buyer uploads a vendor SOW (PDF, DOCX, or TXT). The platform extracts raw text and associates it with a unique session identifier.</w:t>
      </w:r>
    </w:p>
    <w:p>
      <w:pPr>
        <w:pStyle w:val="ListNumber"/>
        <w:spacing w:after="100"/>
      </w:pPr>
      <w:r>
        <w:rPr>
          <w:b/>
          <w:color w:val="E86C1E"/>
          <w:sz w:val="20"/>
        </w:rPr>
        <w:t xml:space="preserve">Stage 2 — AI Extraction:  </w:t>
      </w:r>
      <w:r>
        <w:rPr>
          <w:color w:val="5A5A5A"/>
          <w:sz w:val="20"/>
        </w:rPr>
        <w:t>Claude parses the SOW and populates a structured data model: client name, contract value, duration, individual roles with proposed hourly rates, payment terms, and key contractual clauses (liability, IP, termination).</w:t>
      </w:r>
    </w:p>
    <w:p>
      <w:pPr>
        <w:pStyle w:val="ListNumber"/>
        <w:spacing w:after="100"/>
      </w:pPr>
      <w:r>
        <w:rPr>
          <w:b/>
          <w:color w:val="E86C1E"/>
          <w:sz w:val="20"/>
        </w:rPr>
        <w:t xml:space="preserve">Stage 3 — Market Benchmarking:  </w:t>
      </w:r>
      <w:r>
        <w:rPr>
          <w:color w:val="5A5A5A"/>
          <w:sz w:val="20"/>
        </w:rPr>
        <w:t>Each extracted role is matched against an internal database of 50+ IT professional-service roles. The system calculates the proposed rate's percentile position (p25/p50/p75/p90), delta from market median, and monthly cost exposure at 160 hrs/month.</w:t>
      </w:r>
    </w:p>
    <w:p>
      <w:pPr>
        <w:pStyle w:val="ListNumber"/>
        <w:spacing w:after="100"/>
      </w:pPr>
      <w:r>
        <w:rPr>
          <w:b/>
          <w:color w:val="E86C1E"/>
          <w:sz w:val="20"/>
        </w:rPr>
        <w:t xml:space="preserve">Stage 4 — AI-Driven Negotiation:  </w:t>
      </w:r>
      <w:r>
        <w:rPr>
          <w:color w:val="5A5A5A"/>
          <w:sz w:val="20"/>
        </w:rPr>
        <w:t>Using the benchmark findings as evidence, the AI agent opens a negotiation dialogue directly with the vendor (or simulates one for buyer review). It applies a defined concession strategy: open at p50, concede to p75, concede to p90 for specialist roles only. All positions are cited with data.</w:t>
      </w:r>
    </w:p>
    <w:p>
      <w:pPr>
        <w:pStyle w:val="ListNumber"/>
        <w:spacing w:after="100"/>
      </w:pPr>
      <w:r>
        <w:rPr>
          <w:b/>
          <w:color w:val="E86C1E"/>
          <w:sz w:val="20"/>
        </w:rPr>
        <w:t xml:space="preserve">Stage 5 — Human Approval &amp; Learning:  </w:t>
      </w:r>
      <w:r>
        <w:rPr>
          <w:color w:val="5A5A5A"/>
          <w:sz w:val="20"/>
        </w:rPr>
        <w:t>Once terms are agreed, the buyer's approver reviews the full transcript and approves or rejects the outcome. The decision and qualitative feedback are stored and injected into future sessions, enabling continuous improvement.</w:t>
      </w:r>
    </w:p>
    <w:p>
      <w:pPr>
        <w:spacing w:before="360" w:after="80"/>
      </w:pPr>
      <w:r>
        <w:rPr>
          <w:b/>
          <w:color w:val="1A2B4A"/>
          <w:sz w:val="28"/>
        </w:rPr>
        <w:t>4. SOLUTION ARCHITECTURE</w:t>
      </w:r>
    </w:p>
    <w:p>
      <w:pPr>
        <w:pBdr>
          <w:bottom w:val="single" w:sz="6" w:space="1" w:color="E86C1E"/>
        </w:pBdr>
        <w:spacing w:after="120" w:before="0"/>
      </w:pPr>
    </w:p>
    <w:p>
      <w:pPr>
        <w:spacing w:before="240" w:after="40"/>
      </w:pPr>
      <w:r>
        <w:rPr>
          <w:b/>
          <w:color w:val="E86C1E"/>
          <w:sz w:val="22"/>
        </w:rPr>
        <w:t>4.1  Component Overview</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A2B4A"/>
            <w:vAlign w:val="center"/>
          </w:tcPr>
          <w:p>
            <w:pPr>
              <w:spacing w:after="60" w:before="60"/>
            </w:pPr>
            <w:r>
              <w:rPr>
                <w:b/>
                <w:color w:val="FFFFFF"/>
                <w:sz w:val="18"/>
              </w:rPr>
              <w:t>Layer</w:t>
            </w:r>
          </w:p>
        </w:tc>
        <w:tc>
          <w:tcPr>
            <w:tcW w:type="dxa" w:w="3120"/>
            <w:shd w:val="clear" w:color="auto" w:fill="1A2B4A"/>
            <w:vAlign w:val="center"/>
          </w:tcPr>
          <w:p>
            <w:pPr>
              <w:spacing w:after="60" w:before="60"/>
            </w:pPr>
            <w:r>
              <w:rPr>
                <w:b/>
                <w:color w:val="FFFFFF"/>
                <w:sz w:val="18"/>
              </w:rPr>
              <w:t>Technology</w:t>
            </w:r>
          </w:p>
        </w:tc>
        <w:tc>
          <w:tcPr>
            <w:tcW w:type="dxa" w:w="3120"/>
            <w:shd w:val="clear" w:color="auto" w:fill="1A2B4A"/>
            <w:vAlign w:val="center"/>
          </w:tcPr>
          <w:p>
            <w:pPr>
              <w:spacing w:after="60" w:before="60"/>
            </w:pPr>
            <w:r>
              <w:rPr>
                <w:b/>
                <w:color w:val="FFFFFF"/>
                <w:sz w:val="18"/>
              </w:rPr>
              <w:t>Responsibility</w:t>
            </w:r>
          </w:p>
        </w:tc>
      </w:tr>
      <w:tr>
        <w:tc>
          <w:tcPr>
            <w:tcW w:type="dxa" w:w="3120"/>
            <w:shd w:val="clear" w:color="auto" w:fill="F5F5F5"/>
          </w:tcPr>
          <w:p>
            <w:pPr>
              <w:spacing w:after="60" w:before="60"/>
            </w:pPr>
            <w:r>
              <w:rPr>
                <w:color w:val="5A5A5A"/>
                <w:sz w:val="18"/>
              </w:rPr>
              <w:t>Frontend</w:t>
            </w:r>
          </w:p>
        </w:tc>
        <w:tc>
          <w:tcPr>
            <w:tcW w:type="dxa" w:w="3120"/>
            <w:shd w:val="clear" w:color="auto" w:fill="F5F5F5"/>
          </w:tcPr>
          <w:p>
            <w:pPr>
              <w:spacing w:after="60" w:before="60"/>
            </w:pPr>
            <w:r>
              <w:rPr>
                <w:color w:val="5A5A5A"/>
                <w:sz w:val="18"/>
              </w:rPr>
              <w:t>Next.js 15 / React 19 / TypeScript</w:t>
            </w:r>
          </w:p>
        </w:tc>
        <w:tc>
          <w:tcPr>
            <w:tcW w:type="dxa" w:w="3120"/>
            <w:shd w:val="clear" w:color="auto" w:fill="F5F5F5"/>
          </w:tcPr>
          <w:p>
            <w:pPr>
              <w:spacing w:after="60" w:before="60"/>
            </w:pPr>
            <w:r>
              <w:rPr>
                <w:color w:val="5A5A5A"/>
                <w:sz w:val="18"/>
              </w:rPr>
              <w:t>Three-panel negotiation UI, file upload, session history, approval portal</w:t>
            </w:r>
          </w:p>
        </w:tc>
      </w:tr>
      <w:tr>
        <w:tc>
          <w:tcPr>
            <w:tcW w:type="dxa" w:w="3120"/>
            <w:shd w:val="clear" w:color="auto" w:fill="FFFFFF"/>
          </w:tcPr>
          <w:p>
            <w:pPr>
              <w:spacing w:after="60" w:before="60"/>
            </w:pPr>
            <w:r>
              <w:rPr>
                <w:color w:val="5A5A5A"/>
                <w:sz w:val="18"/>
              </w:rPr>
              <w:t>Backend API</w:t>
            </w:r>
          </w:p>
        </w:tc>
        <w:tc>
          <w:tcPr>
            <w:tcW w:type="dxa" w:w="3120"/>
            <w:shd w:val="clear" w:color="auto" w:fill="FFFFFF"/>
          </w:tcPr>
          <w:p>
            <w:pPr>
              <w:spacing w:after="60" w:before="60"/>
            </w:pPr>
            <w:r>
              <w:rPr>
                <w:color w:val="5A5A5A"/>
                <w:sz w:val="18"/>
              </w:rPr>
              <w:t>FastAPI / Python / Uvicorn</w:t>
            </w:r>
          </w:p>
        </w:tc>
        <w:tc>
          <w:tcPr>
            <w:tcW w:type="dxa" w:w="3120"/>
            <w:shd w:val="clear" w:color="auto" w:fill="FFFFFF"/>
          </w:tcPr>
          <w:p>
            <w:pPr>
              <w:spacing w:after="60" w:before="60"/>
            </w:pPr>
            <w:r>
              <w:rPr>
                <w:color w:val="5A5A5A"/>
                <w:sz w:val="18"/>
              </w:rPr>
              <w:t>REST API, session management, file parsing, orchestration</w:t>
            </w:r>
          </w:p>
        </w:tc>
      </w:tr>
      <w:tr>
        <w:tc>
          <w:tcPr>
            <w:tcW w:type="dxa" w:w="3120"/>
            <w:shd w:val="clear" w:color="auto" w:fill="F5F5F5"/>
          </w:tcPr>
          <w:p>
            <w:pPr>
              <w:spacing w:after="60" w:before="60"/>
            </w:pPr>
            <w:r>
              <w:rPr>
                <w:color w:val="5A5A5A"/>
                <w:sz w:val="18"/>
              </w:rPr>
              <w:t>AI Agent</w:t>
            </w:r>
          </w:p>
        </w:tc>
        <w:tc>
          <w:tcPr>
            <w:tcW w:type="dxa" w:w="3120"/>
            <w:shd w:val="clear" w:color="auto" w:fill="F5F5F5"/>
          </w:tcPr>
          <w:p>
            <w:pPr>
              <w:spacing w:after="60" w:before="60"/>
            </w:pPr>
            <w:r>
              <w:rPr>
                <w:color w:val="5A5A5A"/>
                <w:sz w:val="18"/>
              </w:rPr>
              <w:t>Claude Sonnet (Anthropic)</w:t>
            </w:r>
          </w:p>
        </w:tc>
        <w:tc>
          <w:tcPr>
            <w:tcW w:type="dxa" w:w="3120"/>
            <w:shd w:val="clear" w:color="auto" w:fill="F5F5F5"/>
          </w:tcPr>
          <w:p>
            <w:pPr>
              <w:spacing w:after="60" w:before="60"/>
            </w:pPr>
            <w:r>
              <w:rPr>
                <w:color w:val="5A5A5A"/>
                <w:sz w:val="18"/>
              </w:rPr>
              <w:t>SOW extraction, benchmark lookup, negotiation dialogue, feedback capture</w:t>
            </w:r>
          </w:p>
        </w:tc>
      </w:tr>
      <w:tr>
        <w:tc>
          <w:tcPr>
            <w:tcW w:type="dxa" w:w="3120"/>
            <w:shd w:val="clear" w:color="auto" w:fill="FFFFFF"/>
          </w:tcPr>
          <w:p>
            <w:pPr>
              <w:spacing w:after="60" w:before="60"/>
            </w:pPr>
            <w:r>
              <w:rPr>
                <w:color w:val="5A5A5A"/>
                <w:sz w:val="18"/>
              </w:rPr>
              <w:t>Data Store</w:t>
            </w:r>
          </w:p>
        </w:tc>
        <w:tc>
          <w:tcPr>
            <w:tcW w:type="dxa" w:w="3120"/>
            <w:shd w:val="clear" w:color="auto" w:fill="FFFFFF"/>
          </w:tcPr>
          <w:p>
            <w:pPr>
              <w:spacing w:after="60" w:before="60"/>
            </w:pPr>
            <w:r>
              <w:rPr>
                <w:color w:val="5A5A5A"/>
                <w:sz w:val="18"/>
              </w:rPr>
              <w:t>In-memory + JSON file</w:t>
            </w:r>
          </w:p>
        </w:tc>
        <w:tc>
          <w:tcPr>
            <w:tcW w:type="dxa" w:w="3120"/>
            <w:shd w:val="clear" w:color="auto" w:fill="FFFFFF"/>
          </w:tcPr>
          <w:p>
            <w:pPr>
              <w:spacing w:after="60" w:before="60"/>
            </w:pPr>
            <w:r>
              <w:rPr>
                <w:color w:val="5A5A5A"/>
                <w:sz w:val="18"/>
              </w:rPr>
              <w:t>Session state, market benchmarks, feedback/learning store</w:t>
            </w:r>
          </w:p>
        </w:tc>
      </w:tr>
      <w:tr>
        <w:tc>
          <w:tcPr>
            <w:tcW w:type="dxa" w:w="3120"/>
            <w:shd w:val="clear" w:color="auto" w:fill="F5F5F5"/>
          </w:tcPr>
          <w:p>
            <w:pPr>
              <w:spacing w:after="60" w:before="60"/>
            </w:pPr>
            <w:r>
              <w:rPr>
                <w:color w:val="5A5A5A"/>
                <w:sz w:val="18"/>
              </w:rPr>
              <w:t>Deployment</w:t>
            </w:r>
          </w:p>
        </w:tc>
        <w:tc>
          <w:tcPr>
            <w:tcW w:type="dxa" w:w="3120"/>
            <w:shd w:val="clear" w:color="auto" w:fill="F5F5F5"/>
          </w:tcPr>
          <w:p>
            <w:pPr>
              <w:spacing w:after="60" w:before="60"/>
            </w:pPr>
            <w:r>
              <w:rPr>
                <w:color w:val="5A5A5A"/>
                <w:sz w:val="18"/>
              </w:rPr>
              <w:t>Railway (backend) / Vercel (frontend)</w:t>
            </w:r>
          </w:p>
        </w:tc>
        <w:tc>
          <w:tcPr>
            <w:tcW w:type="dxa" w:w="3120"/>
            <w:shd w:val="clear" w:color="auto" w:fill="F5F5F5"/>
          </w:tcPr>
          <w:p>
            <w:pPr>
              <w:spacing w:after="60" w:before="60"/>
            </w:pPr>
            <w:r>
              <w:rPr>
                <w:color w:val="5A5A5A"/>
                <w:sz w:val="18"/>
              </w:rPr>
              <w:t>Cloud hosting, environment config, CORS management</w:t>
            </w:r>
          </w:p>
        </w:tc>
      </w:tr>
    </w:tbl>
    <w:p/>
    <w:p>
      <w:pPr>
        <w:spacing w:before="240" w:after="40"/>
      </w:pPr>
      <w:r>
        <w:rPr>
          <w:b/>
          <w:color w:val="E86C1E"/>
          <w:sz w:val="22"/>
        </w:rPr>
        <w:t>4.2  Data Flow</w:t>
      </w:r>
    </w:p>
    <w:p>
      <w:pPr>
        <w:spacing w:after="60"/>
      </w:pPr>
      <w:r>
        <w:rPr>
          <w:color w:val="5A5A5A"/>
          <w:sz w:val="20"/>
        </w:rPr>
        <w:t xml:space="preserve">  1.  User uploads SOW → FastAPI extracts text, creates session UUID</w:t>
      </w:r>
    </w:p>
    <w:p>
      <w:pPr>
        <w:spacing w:after="60"/>
      </w:pPr>
      <w:r>
        <w:rPr>
          <w:color w:val="5A5A5A"/>
          <w:sz w:val="20"/>
        </w:rPr>
        <w:t xml:space="preserve">  2.  NegotiationAgent.run_turn() called with SOW text</w:t>
      </w:r>
    </w:p>
    <w:p>
      <w:pPr>
        <w:spacing w:after="60"/>
      </w:pPr>
      <w:r>
        <w:rPr>
          <w:color w:val="5A5A5A"/>
          <w:sz w:val="20"/>
        </w:rPr>
        <w:t xml:space="preserve">  3.  Claude calls extract_sow_data tool → structured role/clause data returned</w:t>
      </w:r>
    </w:p>
    <w:p>
      <w:pPr>
        <w:spacing w:after="60"/>
      </w:pPr>
      <w:r>
        <w:rPr>
          <w:color w:val="5A5A5A"/>
          <w:sz w:val="20"/>
        </w:rPr>
        <w:t xml:space="preserve">  4.  Claude calls lookup_benchmarks tool → percentile analysis per role</w:t>
      </w:r>
    </w:p>
    <w:p>
      <w:pPr>
        <w:spacing w:after="60"/>
      </w:pPr>
      <w:r>
        <w:rPr>
          <w:color w:val="5A5A5A"/>
          <w:sz w:val="20"/>
        </w:rPr>
        <w:t xml:space="preserve">  5.  Claude generates counter-offer response based on benchmark evidence</w:t>
      </w:r>
    </w:p>
    <w:p>
      <w:pPr>
        <w:spacing w:after="60"/>
      </w:pPr>
      <w:r>
        <w:rPr>
          <w:color w:val="5A5A5A"/>
          <w:sz w:val="20"/>
        </w:rPr>
        <w:t xml:space="preserve">  6.  Multi-turn chat continues until negotiation is complete</w:t>
      </w:r>
    </w:p>
    <w:p>
      <w:pPr>
        <w:spacing w:after="60"/>
      </w:pPr>
      <w:r>
        <w:rPr>
          <w:color w:val="5A5A5A"/>
          <w:sz w:val="20"/>
        </w:rPr>
        <w:t xml:space="preserve">  7.  Buyer opens Approval Portal → reviews transcript → approves or rejects</w:t>
      </w:r>
    </w:p>
    <w:p>
      <w:pPr>
        <w:spacing w:after="60"/>
      </w:pPr>
      <w:r>
        <w:rPr>
          <w:color w:val="5A5A5A"/>
          <w:sz w:val="20"/>
        </w:rPr>
        <w:t xml:space="preserve">  8.  Feedback stored → injected into next session's system prompt</w:t>
      </w:r>
    </w:p>
    <w:p/>
    <w:p>
      <w:pPr>
        <w:spacing w:before="240" w:after="40"/>
      </w:pPr>
      <w:r>
        <w:rPr>
          <w:b/>
          <w:color w:val="E86C1E"/>
          <w:sz w:val="22"/>
        </w:rPr>
        <w:t>4.3  AI Agent Design</w:t>
      </w:r>
    </w:p>
    <w:p>
      <w:pPr>
        <w:spacing w:after="120" w:before="0"/>
      </w:pPr>
      <w:r>
        <w:rPr>
          <w:color w:val="5A5A5A"/>
          <w:sz w:val="20"/>
        </w:rPr>
        <w:t>The core intelligence is a single NegotiationAgent built on Claude's tool-use capability. The agent is equipped with three tools:</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A2B4A"/>
            <w:vAlign w:val="center"/>
          </w:tcPr>
          <w:p>
            <w:pPr>
              <w:spacing w:after="60" w:before="60"/>
            </w:pPr>
            <w:r>
              <w:rPr>
                <w:b/>
                <w:color w:val="FFFFFF"/>
                <w:sz w:val="18"/>
              </w:rPr>
              <w:t>Tool</w:t>
            </w:r>
          </w:p>
        </w:tc>
        <w:tc>
          <w:tcPr>
            <w:tcW w:type="dxa" w:w="3120"/>
            <w:shd w:val="clear" w:color="auto" w:fill="1A2B4A"/>
            <w:vAlign w:val="center"/>
          </w:tcPr>
          <w:p>
            <w:pPr>
              <w:spacing w:after="60" w:before="60"/>
            </w:pPr>
            <w:r>
              <w:rPr>
                <w:b/>
                <w:color w:val="FFFFFF"/>
                <w:sz w:val="18"/>
              </w:rPr>
              <w:t>Purpose</w:t>
            </w:r>
          </w:p>
        </w:tc>
        <w:tc>
          <w:tcPr>
            <w:tcW w:type="dxa" w:w="3120"/>
            <w:shd w:val="clear" w:color="auto" w:fill="1A2B4A"/>
            <w:vAlign w:val="center"/>
          </w:tcPr>
          <w:p>
            <w:pPr>
              <w:spacing w:after="60" w:before="60"/>
            </w:pPr>
            <w:r>
              <w:rPr>
                <w:b/>
                <w:color w:val="FFFFFF"/>
                <w:sz w:val="18"/>
              </w:rPr>
              <w:t>Outputs</w:t>
            </w:r>
          </w:p>
        </w:tc>
      </w:tr>
      <w:tr>
        <w:tc>
          <w:tcPr>
            <w:tcW w:type="dxa" w:w="3120"/>
            <w:shd w:val="clear" w:color="auto" w:fill="F5F5F5"/>
          </w:tcPr>
          <w:p>
            <w:pPr>
              <w:spacing w:after="60" w:before="60"/>
            </w:pPr>
            <w:r>
              <w:rPr>
                <w:color w:val="5A5A5A"/>
                <w:sz w:val="18"/>
              </w:rPr>
              <w:t>extract_sow_data</w:t>
            </w:r>
          </w:p>
        </w:tc>
        <w:tc>
          <w:tcPr>
            <w:tcW w:type="dxa" w:w="3120"/>
            <w:shd w:val="clear" w:color="auto" w:fill="F5F5F5"/>
          </w:tcPr>
          <w:p>
            <w:pPr>
              <w:spacing w:after="60" w:before="60"/>
            </w:pPr>
            <w:r>
              <w:rPr>
                <w:color w:val="5A5A5A"/>
                <w:sz w:val="18"/>
              </w:rPr>
              <w:t>Parse unstructured SOW text into structured contract data</w:t>
            </w:r>
          </w:p>
        </w:tc>
        <w:tc>
          <w:tcPr>
            <w:tcW w:type="dxa" w:w="3120"/>
            <w:shd w:val="clear" w:color="auto" w:fill="F5F5F5"/>
          </w:tcPr>
          <w:p>
            <w:pPr>
              <w:spacing w:after="60" w:before="60"/>
            </w:pPr>
            <w:r>
              <w:rPr>
                <w:color w:val="5A5A5A"/>
                <w:sz w:val="18"/>
              </w:rPr>
              <w:t>Roles, rates, payment terms, clauses, confidence scores</w:t>
            </w:r>
          </w:p>
        </w:tc>
      </w:tr>
      <w:tr>
        <w:tc>
          <w:tcPr>
            <w:tcW w:type="dxa" w:w="3120"/>
            <w:shd w:val="clear" w:color="auto" w:fill="FFFFFF"/>
          </w:tcPr>
          <w:p>
            <w:pPr>
              <w:spacing w:after="60" w:before="60"/>
            </w:pPr>
            <w:r>
              <w:rPr>
                <w:color w:val="5A5A5A"/>
                <w:sz w:val="18"/>
              </w:rPr>
              <w:t>lookup_benchmarks</w:t>
            </w:r>
          </w:p>
        </w:tc>
        <w:tc>
          <w:tcPr>
            <w:tcW w:type="dxa" w:w="3120"/>
            <w:shd w:val="clear" w:color="auto" w:fill="FFFFFF"/>
          </w:tcPr>
          <w:p>
            <w:pPr>
              <w:spacing w:after="60" w:before="60"/>
            </w:pPr>
            <w:r>
              <w:rPr>
                <w:color w:val="5A5A5A"/>
                <w:sz w:val="18"/>
              </w:rPr>
              <w:t>Compare proposed rates against internal market database</w:t>
            </w:r>
          </w:p>
        </w:tc>
        <w:tc>
          <w:tcPr>
            <w:tcW w:type="dxa" w:w="3120"/>
            <w:shd w:val="clear" w:color="auto" w:fill="FFFFFF"/>
          </w:tcPr>
          <w:p>
            <w:pPr>
              <w:spacing w:after="60" w:before="60"/>
            </w:pPr>
            <w:r>
              <w:rPr>
                <w:color w:val="5A5A5A"/>
                <w:sz w:val="18"/>
              </w:rPr>
              <w:t>p25/p50/p75/p90, percentile, delta %, market position, monthly cost exposure</w:t>
            </w:r>
          </w:p>
        </w:tc>
      </w:tr>
      <w:tr>
        <w:tc>
          <w:tcPr>
            <w:tcW w:type="dxa" w:w="3120"/>
            <w:shd w:val="clear" w:color="auto" w:fill="F5F5F5"/>
          </w:tcPr>
          <w:p>
            <w:pPr>
              <w:spacing w:after="60" w:before="60"/>
            </w:pPr>
            <w:r>
              <w:rPr>
                <w:color w:val="5A5A5A"/>
                <w:sz w:val="18"/>
              </w:rPr>
              <w:t>save_feedback</w:t>
            </w:r>
          </w:p>
        </w:tc>
        <w:tc>
          <w:tcPr>
            <w:tcW w:type="dxa" w:w="3120"/>
            <w:shd w:val="clear" w:color="auto" w:fill="F5F5F5"/>
          </w:tcPr>
          <w:p>
            <w:pPr>
              <w:spacing w:after="60" w:before="60"/>
            </w:pPr>
            <w:r>
              <w:rPr>
                <w:color w:val="5A5A5A"/>
                <w:sz w:val="18"/>
              </w:rPr>
              <w:t>Persist post-negotiation feedback for agent learning</w:t>
            </w:r>
          </w:p>
        </w:tc>
        <w:tc>
          <w:tcPr>
            <w:tcW w:type="dxa" w:w="3120"/>
            <w:shd w:val="clear" w:color="auto" w:fill="F5F5F5"/>
          </w:tcPr>
          <w:p>
            <w:pPr>
              <w:spacing w:after="60" w:before="60"/>
            </w:pPr>
            <w:r>
              <w:rPr>
                <w:color w:val="5A5A5A"/>
                <w:sz w:val="18"/>
              </w:rPr>
              <w:t>Confirmation, cumulative feedback count</w:t>
            </w:r>
          </w:p>
        </w:tc>
      </w:tr>
    </w:tbl>
    <w:p/>
    <w:p>
      <w:pPr>
        <w:spacing w:before="240" w:after="40"/>
      </w:pPr>
      <w:r>
        <w:rPr>
          <w:b/>
          <w:color w:val="E86C1E"/>
          <w:sz w:val="22"/>
        </w:rPr>
        <w:t>4.4  Negotiation Strategy (Encoded in System Prompt)</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A2B4A"/>
            <w:vAlign w:val="center"/>
          </w:tcPr>
          <w:p>
            <w:pPr>
              <w:spacing w:after="60" w:before="60"/>
            </w:pPr>
            <w:r>
              <w:rPr>
                <w:b/>
                <w:color w:val="FFFFFF"/>
                <w:sz w:val="18"/>
              </w:rPr>
              <w:t>Scenario</w:t>
            </w:r>
          </w:p>
        </w:tc>
        <w:tc>
          <w:tcPr>
            <w:tcW w:type="dxa" w:w="3120"/>
            <w:shd w:val="clear" w:color="auto" w:fill="1A2B4A"/>
            <w:vAlign w:val="center"/>
          </w:tcPr>
          <w:p>
            <w:pPr>
              <w:spacing w:after="60" w:before="60"/>
            </w:pPr>
            <w:r>
              <w:rPr>
                <w:b/>
                <w:color w:val="FFFFFF"/>
                <w:sz w:val="18"/>
              </w:rPr>
              <w:t>Opening Position</w:t>
            </w:r>
          </w:p>
        </w:tc>
        <w:tc>
          <w:tcPr>
            <w:tcW w:type="dxa" w:w="3120"/>
            <w:shd w:val="clear" w:color="auto" w:fill="1A2B4A"/>
            <w:vAlign w:val="center"/>
          </w:tcPr>
          <w:p>
            <w:pPr>
              <w:spacing w:after="60" w:before="60"/>
            </w:pPr>
            <w:r>
              <w:rPr>
                <w:b/>
                <w:color w:val="FFFFFF"/>
                <w:sz w:val="18"/>
              </w:rPr>
              <w:t>Maximum Concession</w:t>
            </w:r>
          </w:p>
        </w:tc>
      </w:tr>
      <w:tr>
        <w:tc>
          <w:tcPr>
            <w:tcW w:type="dxa" w:w="3120"/>
            <w:shd w:val="clear" w:color="auto" w:fill="F5F5F5"/>
          </w:tcPr>
          <w:p>
            <w:pPr>
              <w:spacing w:after="60" w:before="60"/>
            </w:pPr>
            <w:r>
              <w:rPr>
                <w:color w:val="5A5A5A"/>
                <w:sz w:val="18"/>
              </w:rPr>
              <w:t>Standard IT roles</w:t>
            </w:r>
          </w:p>
        </w:tc>
        <w:tc>
          <w:tcPr>
            <w:tcW w:type="dxa" w:w="3120"/>
            <w:shd w:val="clear" w:color="auto" w:fill="F5F5F5"/>
          </w:tcPr>
          <w:p>
            <w:pPr>
              <w:spacing w:after="60" w:before="60"/>
            </w:pPr>
            <w:r>
              <w:rPr>
                <w:color w:val="5A5A5A"/>
                <w:sz w:val="18"/>
              </w:rPr>
              <w:t>Market median (p50)</w:t>
            </w:r>
          </w:p>
        </w:tc>
        <w:tc>
          <w:tcPr>
            <w:tcW w:type="dxa" w:w="3120"/>
            <w:shd w:val="clear" w:color="auto" w:fill="F5F5F5"/>
          </w:tcPr>
          <w:p>
            <w:pPr>
              <w:spacing w:after="60" w:before="60"/>
            </w:pPr>
            <w:r>
              <w:rPr>
                <w:color w:val="5A5A5A"/>
                <w:sz w:val="18"/>
              </w:rPr>
              <w:t>Experienced band (p75)</w:t>
            </w:r>
          </w:p>
        </w:tc>
      </w:tr>
      <w:tr>
        <w:tc>
          <w:tcPr>
            <w:tcW w:type="dxa" w:w="3120"/>
            <w:shd w:val="clear" w:color="auto" w:fill="FFFFFF"/>
          </w:tcPr>
          <w:p>
            <w:pPr>
              <w:spacing w:after="60" w:before="60"/>
            </w:pPr>
            <w:r>
              <w:rPr>
                <w:color w:val="5A5A5A"/>
                <w:sz w:val="18"/>
              </w:rPr>
              <w:t>Specialist / niche roles</w:t>
            </w:r>
          </w:p>
        </w:tc>
        <w:tc>
          <w:tcPr>
            <w:tcW w:type="dxa" w:w="3120"/>
            <w:shd w:val="clear" w:color="auto" w:fill="FFFFFF"/>
          </w:tcPr>
          <w:p>
            <w:pPr>
              <w:spacing w:after="60" w:before="60"/>
            </w:pPr>
            <w:r>
              <w:rPr>
                <w:color w:val="5A5A5A"/>
                <w:sz w:val="18"/>
              </w:rPr>
              <w:t>Market median (p50)</w:t>
            </w:r>
          </w:p>
        </w:tc>
        <w:tc>
          <w:tcPr>
            <w:tcW w:type="dxa" w:w="3120"/>
            <w:shd w:val="clear" w:color="auto" w:fill="FFFFFF"/>
          </w:tcPr>
          <w:p>
            <w:pPr>
              <w:spacing w:after="60" w:before="60"/>
            </w:pPr>
            <w:r>
              <w:rPr>
                <w:color w:val="5A5A5A"/>
                <w:sz w:val="18"/>
              </w:rPr>
              <w:t>Premium band (p90)</w:t>
            </w:r>
          </w:p>
        </w:tc>
      </w:tr>
      <w:tr>
        <w:tc>
          <w:tcPr>
            <w:tcW w:type="dxa" w:w="3120"/>
            <w:shd w:val="clear" w:color="auto" w:fill="F5F5F5"/>
          </w:tcPr>
          <w:p>
            <w:pPr>
              <w:spacing w:after="60" w:before="60"/>
            </w:pPr>
            <w:r>
              <w:rPr>
                <w:color w:val="5A5A5A"/>
                <w:sz w:val="18"/>
              </w:rPr>
              <w:t>Payment terms</w:t>
            </w:r>
          </w:p>
        </w:tc>
        <w:tc>
          <w:tcPr>
            <w:tcW w:type="dxa" w:w="3120"/>
            <w:shd w:val="clear" w:color="auto" w:fill="F5F5F5"/>
          </w:tcPr>
          <w:p>
            <w:pPr>
              <w:spacing w:after="60" w:before="60"/>
            </w:pPr>
            <w:r>
              <w:rPr>
                <w:color w:val="5A5A5A"/>
                <w:sz w:val="18"/>
              </w:rPr>
              <w:t>Net 30</w:t>
            </w:r>
          </w:p>
        </w:tc>
        <w:tc>
          <w:tcPr>
            <w:tcW w:type="dxa" w:w="3120"/>
            <w:shd w:val="clear" w:color="auto" w:fill="F5F5F5"/>
          </w:tcPr>
          <w:p>
            <w:pPr>
              <w:spacing w:after="60" w:before="60"/>
            </w:pPr>
            <w:r>
              <w:rPr>
                <w:color w:val="5A5A5A"/>
                <w:sz w:val="18"/>
              </w:rPr>
              <w:t>Net 45 (Net 60+ flagged as unacceptable)</w:t>
            </w:r>
          </w:p>
        </w:tc>
      </w:tr>
      <w:tr>
        <w:tc>
          <w:tcPr>
            <w:tcW w:type="dxa" w:w="3120"/>
            <w:shd w:val="clear" w:color="auto" w:fill="FFFFFF"/>
          </w:tcPr>
          <w:p>
            <w:pPr>
              <w:spacing w:after="60" w:before="60"/>
            </w:pPr>
            <w:r>
              <w:rPr>
                <w:color w:val="5A5A5A"/>
                <w:sz w:val="18"/>
              </w:rPr>
              <w:t>Liability cap</w:t>
            </w:r>
          </w:p>
        </w:tc>
        <w:tc>
          <w:tcPr>
            <w:tcW w:type="dxa" w:w="3120"/>
            <w:shd w:val="clear" w:color="auto" w:fill="FFFFFF"/>
          </w:tcPr>
          <w:p>
            <w:pPr>
              <w:spacing w:after="60" w:before="60"/>
            </w:pPr>
            <w:r>
              <w:rPr>
                <w:color w:val="5A5A5A"/>
                <w:sz w:val="18"/>
              </w:rPr>
              <w:t>Contract value (1×)</w:t>
            </w:r>
          </w:p>
        </w:tc>
        <w:tc>
          <w:tcPr>
            <w:tcW w:type="dxa" w:w="3120"/>
            <w:shd w:val="clear" w:color="auto" w:fill="FFFFFF"/>
          </w:tcPr>
          <w:p>
            <w:pPr>
              <w:spacing w:after="60" w:before="60"/>
            </w:pPr>
            <w:r>
              <w:rPr>
                <w:color w:val="5A5A5A"/>
                <w:sz w:val="18"/>
              </w:rPr>
              <w:t>Up to 2× contract value</w:t>
            </w:r>
          </w:p>
        </w:tc>
      </w:tr>
    </w:tbl>
    <w:p/>
    <w:p>
      <w:pPr>
        <w:spacing w:before="360" w:after="80"/>
      </w:pPr>
      <w:r>
        <w:rPr>
          <w:b/>
          <w:color w:val="1A2B4A"/>
          <w:sz w:val="28"/>
        </w:rPr>
        <w:t>5. KEY FEATURES &amp; CAPABILITIES</w:t>
      </w:r>
    </w:p>
    <w:p>
      <w:pPr>
        <w:pBdr>
          <w:bottom w:val="single" w:sz="6" w:space="1" w:color="E86C1E"/>
        </w:pBdr>
        <w:spacing w:after="120" w:before="0"/>
      </w:pPr>
    </w:p>
    <w:p>
      <w:pPr>
        <w:pStyle w:val="ListBullet"/>
        <w:spacing w:after="80"/>
      </w:pPr>
      <w:r>
        <w:rPr>
          <w:b/>
          <w:color w:val="1A2B4A"/>
          <w:sz w:val="20"/>
        </w:rPr>
        <w:t xml:space="preserve">Multi-format Document Ingestion: </w:t>
      </w:r>
      <w:r>
        <w:rPr>
          <w:color w:val="5A5A5A"/>
          <w:sz w:val="20"/>
        </w:rPr>
        <w:t>Supports PDF, DOCX, and TXT SOW files up to 10 MB. Text extraction handled server-side using pypdf and python-docx.</w:t>
      </w:r>
    </w:p>
    <w:p>
      <w:pPr>
        <w:pStyle w:val="ListBullet"/>
        <w:spacing w:after="80"/>
      </w:pPr>
      <w:r>
        <w:rPr>
          <w:b/>
          <w:color w:val="1A2B4A"/>
          <w:sz w:val="20"/>
        </w:rPr>
        <w:t xml:space="preserve">Market Rate Benchmarking: </w:t>
      </w:r>
      <w:r>
        <w:rPr>
          <w:color w:val="5A5A5A"/>
          <w:sz w:val="20"/>
        </w:rPr>
        <w:t>Internal database of 50+ IT professional-service roles with p25/p50/p75/p90 hourly rate bands. Fuzzy-match logic handles variant role title naming.</w:t>
      </w:r>
    </w:p>
    <w:p>
      <w:pPr>
        <w:pStyle w:val="ListBullet"/>
        <w:spacing w:after="80"/>
      </w:pPr>
      <w:r>
        <w:rPr>
          <w:b/>
          <w:color w:val="1A2B4A"/>
          <w:sz w:val="20"/>
        </w:rPr>
        <w:t xml:space="preserve">Real-time Negotiation Chat: </w:t>
      </w:r>
      <w:r>
        <w:rPr>
          <w:color w:val="5A5A5A"/>
          <w:sz w:val="20"/>
        </w:rPr>
        <w:t>Browser-based chat UI renders agent responses with full Markdown support — tables, bold emphasis, bullet lists — for clear, professional negotiation correspondence.</w:t>
      </w:r>
    </w:p>
    <w:p>
      <w:pPr>
        <w:pStyle w:val="ListBullet"/>
        <w:spacing w:after="80"/>
      </w:pPr>
      <w:r>
        <w:rPr>
          <w:b/>
          <w:color w:val="1A2B4A"/>
          <w:sz w:val="20"/>
        </w:rPr>
        <w:t xml:space="preserve">Agent Learning Loop: </w:t>
      </w:r>
      <w:r>
        <w:rPr>
          <w:color w:val="5A5A5A"/>
          <w:sz w:val="20"/>
        </w:rPr>
        <w:t>Post-session feedback (rating 1–5, outcome, qualitative notes) is persisted and summarised into the agent's system prompt for subsequent sessions, enabling data-driven improvement.</w:t>
      </w:r>
    </w:p>
    <w:p>
      <w:pPr>
        <w:pStyle w:val="ListBullet"/>
        <w:spacing w:after="80"/>
      </w:pPr>
      <w:r>
        <w:rPr>
          <w:b/>
          <w:color w:val="1A2B4A"/>
          <w:sz w:val="20"/>
        </w:rPr>
        <w:t xml:space="preserve">Buyer Approval Portal: </w:t>
      </w:r>
      <w:r>
        <w:rPr>
          <w:color w:val="5A5A5A"/>
          <w:sz w:val="20"/>
        </w:rPr>
        <w:t>Separate, shareable approval URL provides full negotiation transcript for review. Approver submits decision and comments; outcome is captured as feedback automatically.</w:t>
      </w:r>
    </w:p>
    <w:p>
      <w:pPr>
        <w:pStyle w:val="ListBullet"/>
        <w:spacing w:after="80"/>
      </w:pPr>
      <w:r>
        <w:rPr>
          <w:b/>
          <w:color w:val="1A2B4A"/>
          <w:sz w:val="20"/>
        </w:rPr>
        <w:t xml:space="preserve">Session History: </w:t>
      </w:r>
      <w:r>
        <w:rPr>
          <w:color w:val="5A5A5A"/>
          <w:sz w:val="20"/>
        </w:rPr>
        <w:t>Browser localStorage maintains a history of recent negotiations, allowing buyers to revisit and compare outcomes.</w:t>
      </w:r>
    </w:p>
    <w:p>
      <w:pPr>
        <w:pStyle w:val="ListBullet"/>
        <w:spacing w:after="80"/>
      </w:pPr>
      <w:r>
        <w:rPr>
          <w:b/>
          <w:color w:val="1A2B4A"/>
          <w:sz w:val="20"/>
        </w:rPr>
        <w:t xml:space="preserve">Risk Identification: </w:t>
      </w:r>
      <w:r>
        <w:rPr>
          <w:color w:val="5A5A5A"/>
          <w:sz w:val="20"/>
        </w:rPr>
        <w:t>The extraction stage identifies high-risk clauses (uncapped liability, missing termination-for-convenience, joint IP ownership, compliance obligations) and flags them to the buyer.</w:t>
      </w:r>
    </w:p>
    <w:p>
      <w:pPr>
        <w:pStyle w:val="ListBullet"/>
        <w:spacing w:after="80"/>
      </w:pPr>
      <w:r>
        <w:rPr>
          <w:b/>
          <w:color w:val="1A2B4A"/>
          <w:sz w:val="20"/>
        </w:rPr>
        <w:t xml:space="preserve">Configurable AI Model: </w:t>
      </w:r>
      <w:r>
        <w:rPr>
          <w:color w:val="5A5A5A"/>
          <w:sz w:val="20"/>
        </w:rPr>
        <w:t>Model selection is environment-variable driven (MODEL env var), enabling model upgrades without code changes.</w:t>
      </w:r>
    </w:p>
    <w:p>
      <w:pPr>
        <w:spacing w:before="360" w:after="80"/>
      </w:pPr>
      <w:r>
        <w:rPr>
          <w:b/>
          <w:color w:val="1A2B4A"/>
          <w:sz w:val="28"/>
        </w:rPr>
        <w:t>6. API ENDPOINTS</w:t>
      </w:r>
    </w:p>
    <w:p>
      <w:pPr>
        <w:pBdr>
          <w:bottom w:val="single" w:sz="6" w:space="1" w:color="E86C1E"/>
        </w:pBdr>
        <w:spacing w:after="120" w:before="0"/>
      </w:pP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A2B4A"/>
            <w:vAlign w:val="center"/>
          </w:tcPr>
          <w:p>
            <w:pPr>
              <w:spacing w:after="60" w:before="60"/>
            </w:pPr>
            <w:r>
              <w:rPr>
                <w:b/>
                <w:color w:val="FFFFFF"/>
                <w:sz w:val="18"/>
              </w:rPr>
              <w:t>Method</w:t>
            </w:r>
          </w:p>
        </w:tc>
        <w:tc>
          <w:tcPr>
            <w:tcW w:type="dxa" w:w="3120"/>
            <w:shd w:val="clear" w:color="auto" w:fill="1A2B4A"/>
            <w:vAlign w:val="center"/>
          </w:tcPr>
          <w:p>
            <w:pPr>
              <w:spacing w:after="60" w:before="60"/>
            </w:pPr>
            <w:r>
              <w:rPr>
                <w:b/>
                <w:color w:val="FFFFFF"/>
                <w:sz w:val="18"/>
              </w:rPr>
              <w:t>Endpoint</w:t>
            </w:r>
          </w:p>
        </w:tc>
        <w:tc>
          <w:tcPr>
            <w:tcW w:type="dxa" w:w="3120"/>
            <w:shd w:val="clear" w:color="auto" w:fill="1A2B4A"/>
            <w:vAlign w:val="center"/>
          </w:tcPr>
          <w:p>
            <w:pPr>
              <w:spacing w:after="60" w:before="60"/>
            </w:pPr>
            <w:r>
              <w:rPr>
                <w:b/>
                <w:color w:val="FFFFFF"/>
                <w:sz w:val="18"/>
              </w:rPr>
              <w:t>Purpose</w:t>
            </w:r>
          </w:p>
        </w:tc>
      </w:tr>
      <w:tr>
        <w:tc>
          <w:tcPr>
            <w:tcW w:type="dxa" w:w="3120"/>
            <w:shd w:val="clear" w:color="auto" w:fill="F5F5F5"/>
          </w:tcPr>
          <w:p>
            <w:pPr>
              <w:spacing w:after="60" w:before="60"/>
            </w:pPr>
            <w:r>
              <w:rPr>
                <w:color w:val="5A5A5A"/>
                <w:sz w:val="18"/>
              </w:rPr>
              <w:t>GET</w:t>
            </w:r>
          </w:p>
        </w:tc>
        <w:tc>
          <w:tcPr>
            <w:tcW w:type="dxa" w:w="3120"/>
            <w:shd w:val="clear" w:color="auto" w:fill="F5F5F5"/>
          </w:tcPr>
          <w:p>
            <w:pPr>
              <w:spacing w:after="60" w:before="60"/>
            </w:pPr>
            <w:r>
              <w:rPr>
                <w:color w:val="5A5A5A"/>
                <w:sz w:val="18"/>
              </w:rPr>
              <w:t>/api/health</w:t>
            </w:r>
          </w:p>
        </w:tc>
        <w:tc>
          <w:tcPr>
            <w:tcW w:type="dxa" w:w="3120"/>
            <w:shd w:val="clear" w:color="auto" w:fill="F5F5F5"/>
          </w:tcPr>
          <w:p>
            <w:pPr>
              <w:spacing w:after="60" w:before="60"/>
            </w:pPr>
            <w:r>
              <w:rPr>
                <w:color w:val="5A5A5A"/>
                <w:sz w:val="18"/>
              </w:rPr>
              <w:t>Health check — returns status and active model</w:t>
            </w:r>
          </w:p>
        </w:tc>
      </w:tr>
      <w:tr>
        <w:tc>
          <w:tcPr>
            <w:tcW w:type="dxa" w:w="3120"/>
            <w:shd w:val="clear" w:color="auto" w:fill="FFFFFF"/>
          </w:tcPr>
          <w:p>
            <w:pPr>
              <w:spacing w:after="60" w:before="60"/>
            </w:pPr>
            <w:r>
              <w:rPr>
                <w:color w:val="5A5A5A"/>
                <w:sz w:val="18"/>
              </w:rPr>
              <w:t>POST</w:t>
            </w:r>
          </w:p>
        </w:tc>
        <w:tc>
          <w:tcPr>
            <w:tcW w:type="dxa" w:w="3120"/>
            <w:shd w:val="clear" w:color="auto" w:fill="FFFFFF"/>
          </w:tcPr>
          <w:p>
            <w:pPr>
              <w:spacing w:after="60" w:before="60"/>
            </w:pPr>
            <w:r>
              <w:rPr>
                <w:color w:val="5A5A5A"/>
                <w:sz w:val="18"/>
              </w:rPr>
              <w:t>/api/sessions</w:t>
            </w:r>
          </w:p>
        </w:tc>
        <w:tc>
          <w:tcPr>
            <w:tcW w:type="dxa" w:w="3120"/>
            <w:shd w:val="clear" w:color="auto" w:fill="FFFFFF"/>
          </w:tcPr>
          <w:p>
            <w:pPr>
              <w:spacing w:after="60" w:before="60"/>
            </w:pPr>
            <w:r>
              <w:rPr>
                <w:color w:val="5A5A5A"/>
                <w:sz w:val="18"/>
              </w:rPr>
              <w:t>Create session: upload SOW, trigger initial AI extraction &amp; opening offer</w:t>
            </w:r>
          </w:p>
        </w:tc>
      </w:tr>
      <w:tr>
        <w:tc>
          <w:tcPr>
            <w:tcW w:type="dxa" w:w="3120"/>
            <w:shd w:val="clear" w:color="auto" w:fill="F5F5F5"/>
          </w:tcPr>
          <w:p>
            <w:pPr>
              <w:spacing w:after="60" w:before="60"/>
            </w:pPr>
            <w:r>
              <w:rPr>
                <w:color w:val="5A5A5A"/>
                <w:sz w:val="18"/>
              </w:rPr>
              <w:t>POST</w:t>
            </w:r>
          </w:p>
        </w:tc>
        <w:tc>
          <w:tcPr>
            <w:tcW w:type="dxa" w:w="3120"/>
            <w:shd w:val="clear" w:color="auto" w:fill="F5F5F5"/>
          </w:tcPr>
          <w:p>
            <w:pPr>
              <w:spacing w:after="60" w:before="60"/>
            </w:pPr>
            <w:r>
              <w:rPr>
                <w:color w:val="5A5A5A"/>
                <w:sz w:val="18"/>
              </w:rPr>
              <w:t>/api/sessions/{id}/chat</w:t>
            </w:r>
          </w:p>
        </w:tc>
        <w:tc>
          <w:tcPr>
            <w:tcW w:type="dxa" w:w="3120"/>
            <w:shd w:val="clear" w:color="auto" w:fill="F5F5F5"/>
          </w:tcPr>
          <w:p>
            <w:pPr>
              <w:spacing w:after="60" w:before="60"/>
            </w:pPr>
            <w:r>
              <w:rPr>
                <w:color w:val="5A5A5A"/>
                <w:sz w:val="18"/>
              </w:rPr>
              <w:t>Send a chat message; receive agent negotiation response</w:t>
            </w:r>
          </w:p>
        </w:tc>
      </w:tr>
      <w:tr>
        <w:tc>
          <w:tcPr>
            <w:tcW w:type="dxa" w:w="3120"/>
            <w:shd w:val="clear" w:color="auto" w:fill="FFFFFF"/>
          </w:tcPr>
          <w:p>
            <w:pPr>
              <w:spacing w:after="60" w:before="60"/>
            </w:pPr>
            <w:r>
              <w:rPr>
                <w:color w:val="5A5A5A"/>
                <w:sz w:val="18"/>
              </w:rPr>
              <w:t>GET</w:t>
            </w:r>
          </w:p>
        </w:tc>
        <w:tc>
          <w:tcPr>
            <w:tcW w:type="dxa" w:w="3120"/>
            <w:shd w:val="clear" w:color="auto" w:fill="FFFFFF"/>
          </w:tcPr>
          <w:p>
            <w:pPr>
              <w:spacing w:after="60" w:before="60"/>
            </w:pPr>
            <w:r>
              <w:rPr>
                <w:color w:val="5A5A5A"/>
                <w:sz w:val="18"/>
              </w:rPr>
              <w:t>/api/sessions/{id}/summary</w:t>
            </w:r>
          </w:p>
        </w:tc>
        <w:tc>
          <w:tcPr>
            <w:tcW w:type="dxa" w:w="3120"/>
            <w:shd w:val="clear" w:color="auto" w:fill="FFFFFF"/>
          </w:tcPr>
          <w:p>
            <w:pPr>
              <w:spacing w:after="60" w:before="60"/>
            </w:pPr>
            <w:r>
              <w:rPr>
                <w:color w:val="5A5A5A"/>
                <w:sz w:val="18"/>
              </w:rPr>
              <w:t>Retrieve full negotiation transcript and approval status</w:t>
            </w:r>
          </w:p>
        </w:tc>
      </w:tr>
      <w:tr>
        <w:tc>
          <w:tcPr>
            <w:tcW w:type="dxa" w:w="3120"/>
            <w:shd w:val="clear" w:color="auto" w:fill="F5F5F5"/>
          </w:tcPr>
          <w:p>
            <w:pPr>
              <w:spacing w:after="60" w:before="60"/>
            </w:pPr>
            <w:r>
              <w:rPr>
                <w:color w:val="5A5A5A"/>
                <w:sz w:val="18"/>
              </w:rPr>
              <w:t>POST</w:t>
            </w:r>
          </w:p>
        </w:tc>
        <w:tc>
          <w:tcPr>
            <w:tcW w:type="dxa" w:w="3120"/>
            <w:shd w:val="clear" w:color="auto" w:fill="F5F5F5"/>
          </w:tcPr>
          <w:p>
            <w:pPr>
              <w:spacing w:after="60" w:before="60"/>
            </w:pPr>
            <w:r>
              <w:rPr>
                <w:color w:val="5A5A5A"/>
                <w:sz w:val="18"/>
              </w:rPr>
              <w:t>/api/sessions/{id}/approval</w:t>
            </w:r>
          </w:p>
        </w:tc>
        <w:tc>
          <w:tcPr>
            <w:tcW w:type="dxa" w:w="3120"/>
            <w:shd w:val="clear" w:color="auto" w:fill="F5F5F5"/>
          </w:tcPr>
          <w:p>
            <w:pPr>
              <w:spacing w:after="60" w:before="60"/>
            </w:pPr>
            <w:r>
              <w:rPr>
                <w:color w:val="5A5A5A"/>
                <w:sz w:val="18"/>
              </w:rPr>
              <w:t>Submit buyer approval or rejection decision</w:t>
            </w:r>
          </w:p>
        </w:tc>
      </w:tr>
      <w:tr>
        <w:tc>
          <w:tcPr>
            <w:tcW w:type="dxa" w:w="3120"/>
            <w:shd w:val="clear" w:color="auto" w:fill="FFFFFF"/>
          </w:tcPr>
          <w:p>
            <w:pPr>
              <w:spacing w:after="60" w:before="60"/>
            </w:pPr>
            <w:r>
              <w:rPr>
                <w:color w:val="5A5A5A"/>
                <w:sz w:val="18"/>
              </w:rPr>
              <w:t>POST</w:t>
            </w:r>
          </w:p>
        </w:tc>
        <w:tc>
          <w:tcPr>
            <w:tcW w:type="dxa" w:w="3120"/>
            <w:shd w:val="clear" w:color="auto" w:fill="FFFFFF"/>
          </w:tcPr>
          <w:p>
            <w:pPr>
              <w:spacing w:after="60" w:before="60"/>
            </w:pPr>
            <w:r>
              <w:rPr>
                <w:color w:val="5A5A5A"/>
                <w:sz w:val="18"/>
              </w:rPr>
              <w:t>/api/sessions/{id}/feedback</w:t>
            </w:r>
          </w:p>
        </w:tc>
        <w:tc>
          <w:tcPr>
            <w:tcW w:type="dxa" w:w="3120"/>
            <w:shd w:val="clear" w:color="auto" w:fill="FFFFFF"/>
          </w:tcPr>
          <w:p>
            <w:pPr>
              <w:spacing w:after="60" w:before="60"/>
            </w:pPr>
            <w:r>
              <w:rPr>
                <w:color w:val="5A5A5A"/>
                <w:sz w:val="18"/>
              </w:rPr>
              <w:t>Submit qualitative feedback for agent learning</w:t>
            </w:r>
          </w:p>
        </w:tc>
      </w:tr>
    </w:tbl>
    <w:p/>
    <w:p>
      <w:pPr>
        <w:spacing w:before="360" w:after="80"/>
      </w:pPr>
      <w:r>
        <w:rPr>
          <w:b/>
          <w:color w:val="1A2B4A"/>
          <w:sz w:val="28"/>
        </w:rPr>
        <w:t>7. DEPLOYMENT ARCHITECTURE</w:t>
      </w:r>
    </w:p>
    <w:p>
      <w:pPr>
        <w:pBdr>
          <w:bottom w:val="single" w:sz="6" w:space="1" w:color="E86C1E"/>
        </w:pBdr>
        <w:spacing w:after="120" w:before="0"/>
      </w:pP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1A2B4A"/>
            <w:vAlign w:val="center"/>
          </w:tcPr>
          <w:p>
            <w:pPr>
              <w:spacing w:after="60" w:before="60"/>
            </w:pPr>
            <w:r>
              <w:rPr>
                <w:b/>
                <w:color w:val="FFFFFF"/>
                <w:sz w:val="18"/>
              </w:rPr>
              <w:t>Component</w:t>
            </w:r>
          </w:p>
        </w:tc>
        <w:tc>
          <w:tcPr>
            <w:tcW w:type="dxa" w:w="2340"/>
            <w:shd w:val="clear" w:color="auto" w:fill="1A2B4A"/>
            <w:vAlign w:val="center"/>
          </w:tcPr>
          <w:p>
            <w:pPr>
              <w:spacing w:after="60" w:before="60"/>
            </w:pPr>
            <w:r>
              <w:rPr>
                <w:b/>
                <w:color w:val="FFFFFF"/>
                <w:sz w:val="18"/>
              </w:rPr>
              <w:t>Platform</w:t>
            </w:r>
          </w:p>
        </w:tc>
        <w:tc>
          <w:tcPr>
            <w:tcW w:type="dxa" w:w="2340"/>
            <w:shd w:val="clear" w:color="auto" w:fill="1A2B4A"/>
            <w:vAlign w:val="center"/>
          </w:tcPr>
          <w:p>
            <w:pPr>
              <w:spacing w:after="60" w:before="60"/>
            </w:pPr>
            <w:r>
              <w:rPr>
                <w:b/>
                <w:color w:val="FFFFFF"/>
                <w:sz w:val="18"/>
              </w:rPr>
              <w:t>Config File</w:t>
            </w:r>
          </w:p>
        </w:tc>
        <w:tc>
          <w:tcPr>
            <w:tcW w:type="dxa" w:w="2340"/>
            <w:shd w:val="clear" w:color="auto" w:fill="1A2B4A"/>
            <w:vAlign w:val="center"/>
          </w:tcPr>
          <w:p>
            <w:pPr>
              <w:spacing w:after="60" w:before="60"/>
            </w:pPr>
            <w:r>
              <w:rPr>
                <w:b/>
                <w:color w:val="FFFFFF"/>
                <w:sz w:val="18"/>
              </w:rPr>
              <w:t>Key Environment Variables</w:t>
            </w:r>
          </w:p>
        </w:tc>
      </w:tr>
      <w:tr>
        <w:tc>
          <w:tcPr>
            <w:tcW w:type="dxa" w:w="2340"/>
            <w:shd w:val="clear" w:color="auto" w:fill="F5F5F5"/>
          </w:tcPr>
          <w:p>
            <w:pPr>
              <w:spacing w:after="60" w:before="60"/>
            </w:pPr>
            <w:r>
              <w:rPr>
                <w:color w:val="5A5A5A"/>
                <w:sz w:val="18"/>
              </w:rPr>
              <w:t>Backend API</w:t>
            </w:r>
          </w:p>
        </w:tc>
        <w:tc>
          <w:tcPr>
            <w:tcW w:type="dxa" w:w="2340"/>
            <w:shd w:val="clear" w:color="auto" w:fill="F5F5F5"/>
          </w:tcPr>
          <w:p>
            <w:pPr>
              <w:spacing w:after="60" w:before="60"/>
            </w:pPr>
            <w:r>
              <w:rPr>
                <w:color w:val="5A5A5A"/>
                <w:sz w:val="18"/>
              </w:rPr>
              <w:t>Railway.app (Docker)</w:t>
            </w:r>
          </w:p>
        </w:tc>
        <w:tc>
          <w:tcPr>
            <w:tcW w:type="dxa" w:w="2340"/>
            <w:shd w:val="clear" w:color="auto" w:fill="F5F5F5"/>
          </w:tcPr>
          <w:p>
            <w:pPr>
              <w:spacing w:after="60" w:before="60"/>
            </w:pPr>
            <w:r>
              <w:rPr>
                <w:color w:val="5A5A5A"/>
                <w:sz w:val="18"/>
              </w:rPr>
              <w:t>backend/railway.json, Dockerfile</w:t>
            </w:r>
          </w:p>
        </w:tc>
        <w:tc>
          <w:tcPr>
            <w:tcW w:type="dxa" w:w="2340"/>
            <w:shd w:val="clear" w:color="auto" w:fill="F5F5F5"/>
          </w:tcPr>
          <w:p>
            <w:pPr>
              <w:spacing w:after="60" w:before="60"/>
            </w:pPr>
            <w:r>
              <w:rPr>
                <w:color w:val="5A5A5A"/>
                <w:sz w:val="18"/>
              </w:rPr>
              <w:t>ANTHROPIC_API_KEY, MODEL, CORS_ORIGINS</w:t>
            </w:r>
          </w:p>
        </w:tc>
      </w:tr>
      <w:tr>
        <w:tc>
          <w:tcPr>
            <w:tcW w:type="dxa" w:w="2340"/>
            <w:shd w:val="clear" w:color="auto" w:fill="FFFFFF"/>
          </w:tcPr>
          <w:p>
            <w:pPr>
              <w:spacing w:after="60" w:before="60"/>
            </w:pPr>
            <w:r>
              <w:rPr>
                <w:color w:val="5A5A5A"/>
                <w:sz w:val="18"/>
              </w:rPr>
              <w:t>Frontend</w:t>
            </w:r>
          </w:p>
        </w:tc>
        <w:tc>
          <w:tcPr>
            <w:tcW w:type="dxa" w:w="2340"/>
            <w:shd w:val="clear" w:color="auto" w:fill="FFFFFF"/>
          </w:tcPr>
          <w:p>
            <w:pPr>
              <w:spacing w:after="60" w:before="60"/>
            </w:pPr>
            <w:r>
              <w:rPr>
                <w:color w:val="5A5A5A"/>
                <w:sz w:val="18"/>
              </w:rPr>
              <w:t>Vercel (Next.js)</w:t>
            </w:r>
          </w:p>
        </w:tc>
        <w:tc>
          <w:tcPr>
            <w:tcW w:type="dxa" w:w="2340"/>
            <w:shd w:val="clear" w:color="auto" w:fill="FFFFFF"/>
          </w:tcPr>
          <w:p>
            <w:pPr>
              <w:spacing w:after="60" w:before="60"/>
            </w:pPr>
            <w:r>
              <w:rPr>
                <w:color w:val="5A5A5A"/>
                <w:sz w:val="18"/>
              </w:rPr>
              <w:t>frontend/vercel.json</w:t>
            </w:r>
          </w:p>
        </w:tc>
        <w:tc>
          <w:tcPr>
            <w:tcW w:type="dxa" w:w="2340"/>
            <w:shd w:val="clear" w:color="auto" w:fill="FFFFFF"/>
          </w:tcPr>
          <w:p>
            <w:pPr>
              <w:spacing w:after="60" w:before="60"/>
            </w:pPr>
            <w:r>
              <w:rPr>
                <w:color w:val="5A5A5A"/>
                <w:sz w:val="18"/>
              </w:rPr>
              <w:t>NEXT_PUBLIC_API_URL</w:t>
            </w:r>
          </w:p>
        </w:tc>
      </w:tr>
      <w:tr>
        <w:tc>
          <w:tcPr>
            <w:tcW w:type="dxa" w:w="2340"/>
            <w:shd w:val="clear" w:color="auto" w:fill="F5F5F5"/>
          </w:tcPr>
          <w:p>
            <w:pPr>
              <w:spacing w:after="60" w:before="60"/>
            </w:pPr>
            <w:r>
              <w:rPr>
                <w:color w:val="5A5A5A"/>
                <w:sz w:val="18"/>
              </w:rPr>
              <w:t>Data Persistence</w:t>
            </w:r>
          </w:p>
        </w:tc>
        <w:tc>
          <w:tcPr>
            <w:tcW w:type="dxa" w:w="2340"/>
            <w:shd w:val="clear" w:color="auto" w:fill="F5F5F5"/>
          </w:tcPr>
          <w:p>
            <w:pPr>
              <w:spacing w:after="60" w:before="60"/>
            </w:pPr>
            <w:r>
              <w:rPr>
                <w:color w:val="5A5A5A"/>
                <w:sz w:val="18"/>
              </w:rPr>
              <w:t>JSON file (backend/data/store.json)</w:t>
            </w:r>
          </w:p>
        </w:tc>
        <w:tc>
          <w:tcPr>
            <w:tcW w:type="dxa" w:w="2340"/>
            <w:shd w:val="clear" w:color="auto" w:fill="F5F5F5"/>
          </w:tcPr>
          <w:p>
            <w:pPr>
              <w:spacing w:after="60" w:before="60"/>
            </w:pPr>
            <w:r>
              <w:rPr>
                <w:color w:val="5A5A5A"/>
                <w:sz w:val="18"/>
              </w:rPr>
              <w:t>N/A</w:t>
            </w:r>
          </w:p>
        </w:tc>
        <w:tc>
          <w:tcPr>
            <w:tcW w:type="dxa" w:w="2340"/>
            <w:shd w:val="clear" w:color="auto" w:fill="F5F5F5"/>
          </w:tcPr>
          <w:p>
            <w:pPr>
              <w:spacing w:after="60" w:before="60"/>
            </w:pPr>
            <w:r>
              <w:rPr>
                <w:color w:val="5A5A5A"/>
                <w:sz w:val="18"/>
              </w:rPr>
              <w:t>N/A</w:t>
            </w:r>
          </w:p>
        </w:tc>
      </w:tr>
    </w:tbl>
    <w:p/>
    <w:p>
      <w:pPr>
        <w:spacing w:before="240" w:after="40"/>
      </w:pPr>
      <w:r>
        <w:rPr>
          <w:b/>
          <w:color w:val="E86C1E"/>
          <w:sz w:val="22"/>
        </w:rPr>
        <w:t>7.1  Local Development</w:t>
      </w:r>
    </w:p>
    <w:p>
      <w:pPr>
        <w:pStyle w:val="ListBullet"/>
        <w:spacing w:after="60"/>
        <w:ind w:left="360"/>
      </w:pPr>
      <w:r>
        <w:rPr>
          <w:color w:val="5A5A5A"/>
          <w:sz w:val="20"/>
        </w:rPr>
        <w:t>Copy .env.example → backend/.env and populate ANTHROPIC_API_KEY</w:t>
      </w:r>
    </w:p>
    <w:p>
      <w:pPr>
        <w:pStyle w:val="ListBullet"/>
        <w:spacing w:after="60"/>
        <w:ind w:left="360"/>
      </w:pPr>
      <w:r>
        <w:rPr>
          <w:color w:val="5A5A5A"/>
          <w:sz w:val="20"/>
        </w:rPr>
        <w:t>Install Python dependencies: pip install -r backend/requirements.txt</w:t>
      </w:r>
    </w:p>
    <w:p>
      <w:pPr>
        <w:pStyle w:val="ListBullet"/>
        <w:spacing w:after="60"/>
        <w:ind w:left="360"/>
      </w:pPr>
      <w:r>
        <w:rPr>
          <w:color w:val="5A5A5A"/>
          <w:sz w:val="20"/>
        </w:rPr>
        <w:t>Start backend: uvicorn main:app --reload  (port 8000)</w:t>
      </w:r>
    </w:p>
    <w:p>
      <w:pPr>
        <w:pStyle w:val="ListBullet"/>
        <w:spacing w:after="60"/>
        <w:ind w:left="360"/>
      </w:pPr>
      <w:r>
        <w:rPr>
          <w:color w:val="5A5A5A"/>
          <w:sz w:val="20"/>
        </w:rPr>
        <w:t>Install frontend dependencies: npm install  (frontend/)</w:t>
      </w:r>
    </w:p>
    <w:p>
      <w:pPr>
        <w:pStyle w:val="ListBullet"/>
        <w:spacing w:after="60"/>
        <w:ind w:left="360"/>
      </w:pPr>
      <w:r>
        <w:rPr>
          <w:color w:val="5A5A5A"/>
          <w:sz w:val="20"/>
        </w:rPr>
        <w:t>Start frontend: npm run dev  (port 3000)</w:t>
      </w:r>
    </w:p>
    <w:p>
      <w:pPr>
        <w:pStyle w:val="ListBullet"/>
        <w:spacing w:after="60"/>
        <w:ind w:left="360"/>
      </w:pPr>
      <w:r>
        <w:rPr>
          <w:color w:val="5A5A5A"/>
          <w:sz w:val="20"/>
        </w:rPr>
        <w:t>Navigate to http://localhost:3000 and upload a sample SOW</w:t>
      </w:r>
    </w:p>
    <w:p>
      <w:pPr>
        <w:spacing w:before="360" w:after="80"/>
      </w:pPr>
      <w:r>
        <w:rPr>
          <w:b/>
          <w:color w:val="1A2B4A"/>
          <w:sz w:val="28"/>
        </w:rPr>
        <w:t>8. RISKS, CONSTRAINTS &amp; MITIGATIONS</w:t>
      </w:r>
    </w:p>
    <w:p>
      <w:pPr>
        <w:pBdr>
          <w:bottom w:val="single" w:sz="6" w:space="1" w:color="E86C1E"/>
        </w:pBdr>
        <w:spacing w:after="120" w:before="0"/>
      </w:pP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1A2B4A"/>
            <w:vAlign w:val="center"/>
          </w:tcPr>
          <w:p>
            <w:pPr>
              <w:spacing w:after="60" w:before="60"/>
            </w:pPr>
            <w:r>
              <w:rPr>
                <w:b/>
                <w:color w:val="FFFFFF"/>
                <w:sz w:val="18"/>
              </w:rPr>
              <w:t>Risk / Constraint</w:t>
            </w:r>
          </w:p>
        </w:tc>
        <w:tc>
          <w:tcPr>
            <w:tcW w:type="dxa" w:w="2340"/>
            <w:shd w:val="clear" w:color="auto" w:fill="1A2B4A"/>
            <w:vAlign w:val="center"/>
          </w:tcPr>
          <w:p>
            <w:pPr>
              <w:spacing w:after="60" w:before="60"/>
            </w:pPr>
            <w:r>
              <w:rPr>
                <w:b/>
                <w:color w:val="FFFFFF"/>
                <w:sz w:val="18"/>
              </w:rPr>
              <w:t>Likelihood</w:t>
            </w:r>
          </w:p>
        </w:tc>
        <w:tc>
          <w:tcPr>
            <w:tcW w:type="dxa" w:w="2340"/>
            <w:shd w:val="clear" w:color="auto" w:fill="1A2B4A"/>
            <w:vAlign w:val="center"/>
          </w:tcPr>
          <w:p>
            <w:pPr>
              <w:spacing w:after="60" w:before="60"/>
            </w:pPr>
            <w:r>
              <w:rPr>
                <w:b/>
                <w:color w:val="FFFFFF"/>
                <w:sz w:val="18"/>
              </w:rPr>
              <w:t>Impact</w:t>
            </w:r>
          </w:p>
        </w:tc>
        <w:tc>
          <w:tcPr>
            <w:tcW w:type="dxa" w:w="2340"/>
            <w:shd w:val="clear" w:color="auto" w:fill="1A2B4A"/>
            <w:vAlign w:val="center"/>
          </w:tcPr>
          <w:p>
            <w:pPr>
              <w:spacing w:after="60" w:before="60"/>
            </w:pPr>
            <w:r>
              <w:rPr>
                <w:b/>
                <w:color w:val="FFFFFF"/>
                <w:sz w:val="18"/>
              </w:rPr>
              <w:t>Mitigation</w:t>
            </w:r>
          </w:p>
        </w:tc>
      </w:tr>
      <w:tr>
        <w:tc>
          <w:tcPr>
            <w:tcW w:type="dxa" w:w="2340"/>
            <w:shd w:val="clear" w:color="auto" w:fill="F5F5F5"/>
          </w:tcPr>
          <w:p>
            <w:pPr>
              <w:spacing w:after="60" w:before="60"/>
            </w:pPr>
            <w:r>
              <w:rPr>
                <w:color w:val="5A5A5A"/>
                <w:sz w:val="18"/>
              </w:rPr>
              <w:t>In-memory session store lost on restart</w:t>
            </w:r>
          </w:p>
        </w:tc>
        <w:tc>
          <w:tcPr>
            <w:tcW w:type="dxa" w:w="2340"/>
            <w:shd w:val="clear" w:color="auto" w:fill="F5F5F5"/>
          </w:tcPr>
          <w:p>
            <w:pPr>
              <w:spacing w:after="60" w:before="60"/>
            </w:pPr>
            <w:r>
              <w:rPr>
                <w:color w:val="5A5A5A"/>
                <w:sz w:val="18"/>
              </w:rPr>
              <w:t>High</w:t>
            </w:r>
          </w:p>
        </w:tc>
        <w:tc>
          <w:tcPr>
            <w:tcW w:type="dxa" w:w="2340"/>
            <w:shd w:val="clear" w:color="auto" w:fill="F5F5F5"/>
          </w:tcPr>
          <w:p>
            <w:pPr>
              <w:spacing w:after="60" w:before="60"/>
            </w:pPr>
            <w:r>
              <w:rPr>
                <w:color w:val="5A5A5A"/>
                <w:sz w:val="18"/>
              </w:rPr>
              <w:t>Medium</w:t>
            </w:r>
          </w:p>
        </w:tc>
        <w:tc>
          <w:tcPr>
            <w:tcW w:type="dxa" w:w="2340"/>
            <w:shd w:val="clear" w:color="auto" w:fill="F5F5F5"/>
          </w:tcPr>
          <w:p>
            <w:pPr>
              <w:spacing w:after="60" w:before="60"/>
            </w:pPr>
            <w:r>
              <w:rPr>
                <w:color w:val="5A5A5A"/>
                <w:sz w:val="18"/>
              </w:rPr>
              <w:t>Migrate to persistent DB (PostgreSQL / Redis) for production</w:t>
            </w:r>
          </w:p>
        </w:tc>
      </w:tr>
      <w:tr>
        <w:tc>
          <w:tcPr>
            <w:tcW w:type="dxa" w:w="2340"/>
            <w:shd w:val="clear" w:color="auto" w:fill="FFFFFF"/>
          </w:tcPr>
          <w:p>
            <w:pPr>
              <w:spacing w:after="60" w:before="60"/>
            </w:pPr>
            <w:r>
              <w:rPr>
                <w:color w:val="5A5A5A"/>
                <w:sz w:val="18"/>
              </w:rPr>
              <w:t>Benchmark data becomes stale</w:t>
            </w:r>
          </w:p>
        </w:tc>
        <w:tc>
          <w:tcPr>
            <w:tcW w:type="dxa" w:w="2340"/>
            <w:shd w:val="clear" w:color="auto" w:fill="FFFFFF"/>
          </w:tcPr>
          <w:p>
            <w:pPr>
              <w:spacing w:after="60" w:before="60"/>
            </w:pPr>
            <w:r>
              <w:rPr>
                <w:color w:val="5A5A5A"/>
                <w:sz w:val="18"/>
              </w:rPr>
              <w:t>Medium</w:t>
            </w:r>
          </w:p>
        </w:tc>
        <w:tc>
          <w:tcPr>
            <w:tcW w:type="dxa" w:w="2340"/>
            <w:shd w:val="clear" w:color="auto" w:fill="FFFFFF"/>
          </w:tcPr>
          <w:p>
            <w:pPr>
              <w:spacing w:after="60" w:before="60"/>
            </w:pPr>
            <w:r>
              <w:rPr>
                <w:color w:val="5A5A5A"/>
                <w:sz w:val="18"/>
              </w:rPr>
              <w:t>High</w:t>
            </w:r>
          </w:p>
        </w:tc>
        <w:tc>
          <w:tcPr>
            <w:tcW w:type="dxa" w:w="2340"/>
            <w:shd w:val="clear" w:color="auto" w:fill="FFFFFF"/>
          </w:tcPr>
          <w:p>
            <w:pPr>
              <w:spacing w:after="60" w:before="60"/>
            </w:pPr>
            <w:r>
              <w:rPr>
                <w:color w:val="5A5A5A"/>
                <w:sz w:val="18"/>
              </w:rPr>
              <w:t>Establish quarterly benchmark refresh process; externalise to CMS</w:t>
            </w:r>
          </w:p>
        </w:tc>
      </w:tr>
      <w:tr>
        <w:tc>
          <w:tcPr>
            <w:tcW w:type="dxa" w:w="2340"/>
            <w:shd w:val="clear" w:color="auto" w:fill="F5F5F5"/>
          </w:tcPr>
          <w:p>
            <w:pPr>
              <w:spacing w:after="60" w:before="60"/>
            </w:pPr>
            <w:r>
              <w:rPr>
                <w:color w:val="5A5A5A"/>
                <w:sz w:val="18"/>
              </w:rPr>
              <w:t>Hallucinated extraction data from poor-quality PDFs</w:t>
            </w:r>
          </w:p>
        </w:tc>
        <w:tc>
          <w:tcPr>
            <w:tcW w:type="dxa" w:w="2340"/>
            <w:shd w:val="clear" w:color="auto" w:fill="F5F5F5"/>
          </w:tcPr>
          <w:p>
            <w:pPr>
              <w:spacing w:after="60" w:before="60"/>
            </w:pPr>
            <w:r>
              <w:rPr>
                <w:color w:val="5A5A5A"/>
                <w:sz w:val="18"/>
              </w:rPr>
              <w:t>Medium</w:t>
            </w:r>
          </w:p>
        </w:tc>
        <w:tc>
          <w:tcPr>
            <w:tcW w:type="dxa" w:w="2340"/>
            <w:shd w:val="clear" w:color="auto" w:fill="F5F5F5"/>
          </w:tcPr>
          <w:p>
            <w:pPr>
              <w:spacing w:after="60" w:before="60"/>
            </w:pPr>
            <w:r>
              <w:rPr>
                <w:color w:val="5A5A5A"/>
                <w:sz w:val="18"/>
              </w:rPr>
              <w:t>High</w:t>
            </w:r>
          </w:p>
        </w:tc>
        <w:tc>
          <w:tcPr>
            <w:tcW w:type="dxa" w:w="2340"/>
            <w:shd w:val="clear" w:color="auto" w:fill="F5F5F5"/>
          </w:tcPr>
          <w:p>
            <w:pPr>
              <w:spacing w:after="60" w:before="60"/>
            </w:pPr>
            <w:r>
              <w:rPr>
                <w:color w:val="5A5A5A"/>
                <w:sz w:val="18"/>
              </w:rPr>
              <w:t>Add confidence-score thresholds; human review for low-confidence extractions</w:t>
            </w:r>
          </w:p>
        </w:tc>
      </w:tr>
      <w:tr>
        <w:tc>
          <w:tcPr>
            <w:tcW w:type="dxa" w:w="2340"/>
            <w:shd w:val="clear" w:color="auto" w:fill="FFFFFF"/>
          </w:tcPr>
          <w:p>
            <w:pPr>
              <w:spacing w:after="60" w:before="60"/>
            </w:pPr>
            <w:r>
              <w:rPr>
                <w:color w:val="5A5A5A"/>
                <w:sz w:val="18"/>
              </w:rPr>
              <w:t>Vendor adapts to agent negotiation patterns</w:t>
            </w:r>
          </w:p>
        </w:tc>
        <w:tc>
          <w:tcPr>
            <w:tcW w:type="dxa" w:w="2340"/>
            <w:shd w:val="clear" w:color="auto" w:fill="FFFFFF"/>
          </w:tcPr>
          <w:p>
            <w:pPr>
              <w:spacing w:after="60" w:before="60"/>
            </w:pPr>
            <w:r>
              <w:rPr>
                <w:color w:val="5A5A5A"/>
                <w:sz w:val="18"/>
              </w:rPr>
              <w:t>Low</w:t>
            </w:r>
          </w:p>
        </w:tc>
        <w:tc>
          <w:tcPr>
            <w:tcW w:type="dxa" w:w="2340"/>
            <w:shd w:val="clear" w:color="auto" w:fill="FFFFFF"/>
          </w:tcPr>
          <w:p>
            <w:pPr>
              <w:spacing w:after="60" w:before="60"/>
            </w:pPr>
            <w:r>
              <w:rPr>
                <w:color w:val="5A5A5A"/>
                <w:sz w:val="18"/>
              </w:rPr>
              <w:t>Medium</w:t>
            </w:r>
          </w:p>
        </w:tc>
        <w:tc>
          <w:tcPr>
            <w:tcW w:type="dxa" w:w="2340"/>
            <w:shd w:val="clear" w:color="auto" w:fill="FFFFFF"/>
          </w:tcPr>
          <w:p>
            <w:pPr>
              <w:spacing w:after="60" w:before="60"/>
            </w:pPr>
            <w:r>
              <w:rPr>
                <w:color w:val="5A5A5A"/>
                <w:sz w:val="18"/>
              </w:rPr>
              <w:t>Randomise concession sequencing; update system prompt playbooks regularly</w:t>
            </w:r>
          </w:p>
        </w:tc>
      </w:tr>
      <w:tr>
        <w:tc>
          <w:tcPr>
            <w:tcW w:type="dxa" w:w="2340"/>
            <w:shd w:val="clear" w:color="auto" w:fill="F5F5F5"/>
          </w:tcPr>
          <w:p>
            <w:pPr>
              <w:spacing w:after="60" w:before="60"/>
            </w:pPr>
            <w:r>
              <w:rPr>
                <w:color w:val="5A5A5A"/>
                <w:sz w:val="18"/>
              </w:rPr>
              <w:t>Regulatory / legal review not automated</w:t>
            </w:r>
          </w:p>
        </w:tc>
        <w:tc>
          <w:tcPr>
            <w:tcW w:type="dxa" w:w="2340"/>
            <w:shd w:val="clear" w:color="auto" w:fill="F5F5F5"/>
          </w:tcPr>
          <w:p>
            <w:pPr>
              <w:spacing w:after="60" w:before="60"/>
            </w:pPr>
            <w:r>
              <w:rPr>
                <w:color w:val="5A5A5A"/>
                <w:sz w:val="18"/>
              </w:rPr>
              <w:t>N/A</w:t>
            </w:r>
          </w:p>
        </w:tc>
        <w:tc>
          <w:tcPr>
            <w:tcW w:type="dxa" w:w="2340"/>
            <w:shd w:val="clear" w:color="auto" w:fill="F5F5F5"/>
          </w:tcPr>
          <w:p>
            <w:pPr>
              <w:spacing w:after="60" w:before="60"/>
            </w:pPr>
            <w:r>
              <w:rPr>
                <w:color w:val="5A5A5A"/>
                <w:sz w:val="18"/>
              </w:rPr>
              <w:t>High</w:t>
            </w:r>
          </w:p>
        </w:tc>
        <w:tc>
          <w:tcPr>
            <w:tcW w:type="dxa" w:w="2340"/>
            <w:shd w:val="clear" w:color="auto" w:fill="F5F5F5"/>
          </w:tcPr>
          <w:p>
            <w:pPr>
              <w:spacing w:after="60" w:before="60"/>
            </w:pPr>
            <w:r>
              <w:rPr>
                <w:color w:val="5A5A5A"/>
                <w:sz w:val="18"/>
              </w:rPr>
              <w:t>Agent flags risk clauses; human legal review remains mandatory</w:t>
            </w:r>
          </w:p>
        </w:tc>
      </w:tr>
      <w:tr>
        <w:tc>
          <w:tcPr>
            <w:tcW w:type="dxa" w:w="2340"/>
            <w:shd w:val="clear" w:color="auto" w:fill="FFFFFF"/>
          </w:tcPr>
          <w:p>
            <w:pPr>
              <w:spacing w:after="60" w:before="60"/>
            </w:pPr>
            <w:r>
              <w:rPr>
                <w:color w:val="5A5A5A"/>
                <w:sz w:val="18"/>
              </w:rPr>
              <w:t>Model API rate limits under high load</w:t>
            </w:r>
          </w:p>
        </w:tc>
        <w:tc>
          <w:tcPr>
            <w:tcW w:type="dxa" w:w="2340"/>
            <w:shd w:val="clear" w:color="auto" w:fill="FFFFFF"/>
          </w:tcPr>
          <w:p>
            <w:pPr>
              <w:spacing w:after="60" w:before="60"/>
            </w:pPr>
            <w:r>
              <w:rPr>
                <w:color w:val="5A5A5A"/>
                <w:sz w:val="18"/>
              </w:rPr>
              <w:t>Low</w:t>
            </w:r>
          </w:p>
        </w:tc>
        <w:tc>
          <w:tcPr>
            <w:tcW w:type="dxa" w:w="2340"/>
            <w:shd w:val="clear" w:color="auto" w:fill="FFFFFF"/>
          </w:tcPr>
          <w:p>
            <w:pPr>
              <w:spacing w:after="60" w:before="60"/>
            </w:pPr>
            <w:r>
              <w:rPr>
                <w:color w:val="5A5A5A"/>
                <w:sz w:val="18"/>
              </w:rPr>
              <w:t>Medium</w:t>
            </w:r>
          </w:p>
        </w:tc>
        <w:tc>
          <w:tcPr>
            <w:tcW w:type="dxa" w:w="2340"/>
            <w:shd w:val="clear" w:color="auto" w:fill="FFFFFF"/>
          </w:tcPr>
          <w:p>
            <w:pPr>
              <w:spacing w:after="60" w:before="60"/>
            </w:pPr>
            <w:r>
              <w:rPr>
                <w:color w:val="5A5A5A"/>
                <w:sz w:val="18"/>
              </w:rPr>
              <w:t>Implement request queuing and retry logic; consider dedicated capacity</w:t>
            </w:r>
          </w:p>
        </w:tc>
      </w:tr>
    </w:tbl>
    <w:p/>
    <w:p>
      <w:pPr>
        <w:spacing w:before="360" w:after="80"/>
      </w:pPr>
      <w:r>
        <w:rPr>
          <w:b/>
          <w:color w:val="1A2B4A"/>
          <w:sz w:val="28"/>
        </w:rPr>
        <w:t>9. FUTURE ROADMAP</w:t>
      </w:r>
    </w:p>
    <w:p>
      <w:pPr>
        <w:pBdr>
          <w:bottom w:val="single" w:sz="6" w:space="1" w:color="E86C1E"/>
        </w:pBdr>
        <w:spacing w:after="120" w:before="0"/>
      </w:pP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A2B4A"/>
            <w:vAlign w:val="center"/>
          </w:tcPr>
          <w:p>
            <w:pPr>
              <w:spacing w:after="60" w:before="60"/>
            </w:pPr>
            <w:r>
              <w:rPr>
                <w:b/>
                <w:color w:val="FFFFFF"/>
                <w:sz w:val="18"/>
              </w:rPr>
              <w:t>Phase</w:t>
            </w:r>
          </w:p>
        </w:tc>
        <w:tc>
          <w:tcPr>
            <w:tcW w:type="dxa" w:w="3120"/>
            <w:shd w:val="clear" w:color="auto" w:fill="1A2B4A"/>
            <w:vAlign w:val="center"/>
          </w:tcPr>
          <w:p>
            <w:pPr>
              <w:spacing w:after="60" w:before="60"/>
            </w:pPr>
            <w:r>
              <w:rPr>
                <w:b/>
                <w:color w:val="FFFFFF"/>
                <w:sz w:val="18"/>
              </w:rPr>
              <w:t>Initiative</w:t>
            </w:r>
          </w:p>
        </w:tc>
        <w:tc>
          <w:tcPr>
            <w:tcW w:type="dxa" w:w="3120"/>
            <w:shd w:val="clear" w:color="auto" w:fill="1A2B4A"/>
            <w:vAlign w:val="center"/>
          </w:tcPr>
          <w:p>
            <w:pPr>
              <w:spacing w:after="60" w:before="60"/>
            </w:pPr>
            <w:r>
              <w:rPr>
                <w:b/>
                <w:color w:val="FFFFFF"/>
                <w:sz w:val="18"/>
              </w:rPr>
              <w:t>Business Value</w:t>
            </w:r>
          </w:p>
        </w:tc>
      </w:tr>
      <w:tr>
        <w:tc>
          <w:tcPr>
            <w:tcW w:type="dxa" w:w="3120"/>
            <w:shd w:val="clear" w:color="auto" w:fill="F5F5F5"/>
          </w:tcPr>
          <w:p>
            <w:pPr>
              <w:spacing w:after="60" w:before="60"/>
            </w:pPr>
            <w:r>
              <w:rPr>
                <w:color w:val="5A5A5A"/>
                <w:sz w:val="18"/>
              </w:rPr>
              <w:t>Phase 2</w:t>
            </w:r>
          </w:p>
        </w:tc>
        <w:tc>
          <w:tcPr>
            <w:tcW w:type="dxa" w:w="3120"/>
            <w:shd w:val="clear" w:color="auto" w:fill="F5F5F5"/>
          </w:tcPr>
          <w:p>
            <w:pPr>
              <w:spacing w:after="60" w:before="60"/>
            </w:pPr>
            <w:r>
              <w:rPr>
                <w:color w:val="5A5A5A"/>
                <w:sz w:val="18"/>
              </w:rPr>
              <w:t>Persistent database (PostgreSQL)</w:t>
            </w:r>
          </w:p>
        </w:tc>
        <w:tc>
          <w:tcPr>
            <w:tcW w:type="dxa" w:w="3120"/>
            <w:shd w:val="clear" w:color="auto" w:fill="F5F5F5"/>
          </w:tcPr>
          <w:p>
            <w:pPr>
              <w:spacing w:after="60" w:before="60"/>
            </w:pPr>
            <w:r>
              <w:rPr>
                <w:color w:val="5A5A5A"/>
                <w:sz w:val="18"/>
              </w:rPr>
              <w:t>Durable session history, audit trail, analytics</w:t>
            </w:r>
          </w:p>
        </w:tc>
      </w:tr>
      <w:tr>
        <w:tc>
          <w:tcPr>
            <w:tcW w:type="dxa" w:w="3120"/>
            <w:shd w:val="clear" w:color="auto" w:fill="FFFFFF"/>
          </w:tcPr>
          <w:p>
            <w:pPr>
              <w:spacing w:after="60" w:before="60"/>
            </w:pPr>
            <w:r>
              <w:rPr>
                <w:color w:val="5A5A5A"/>
                <w:sz w:val="18"/>
              </w:rPr>
              <w:t>Phase 2</w:t>
            </w:r>
          </w:p>
        </w:tc>
        <w:tc>
          <w:tcPr>
            <w:tcW w:type="dxa" w:w="3120"/>
            <w:shd w:val="clear" w:color="auto" w:fill="FFFFFF"/>
          </w:tcPr>
          <w:p>
            <w:pPr>
              <w:spacing w:after="60" w:before="60"/>
            </w:pPr>
            <w:r>
              <w:rPr>
                <w:color w:val="5A5A5A"/>
                <w:sz w:val="18"/>
              </w:rPr>
              <w:t>Multi-agent orchestration (6-agent pattern)</w:t>
            </w:r>
          </w:p>
        </w:tc>
        <w:tc>
          <w:tcPr>
            <w:tcW w:type="dxa" w:w="3120"/>
            <w:shd w:val="clear" w:color="auto" w:fill="FFFFFF"/>
          </w:tcPr>
          <w:p>
            <w:pPr>
              <w:spacing w:after="60" w:before="60"/>
            </w:pPr>
            <w:r>
              <w:rPr>
                <w:color w:val="5A5A5A"/>
                <w:sz w:val="18"/>
              </w:rPr>
              <w:t>Specialised agents for doc ingestion, risk, benchmarking, reporting</w:t>
            </w:r>
          </w:p>
        </w:tc>
      </w:tr>
      <w:tr>
        <w:tc>
          <w:tcPr>
            <w:tcW w:type="dxa" w:w="3120"/>
            <w:shd w:val="clear" w:color="auto" w:fill="F5F5F5"/>
          </w:tcPr>
          <w:p>
            <w:pPr>
              <w:spacing w:after="60" w:before="60"/>
            </w:pPr>
            <w:r>
              <w:rPr>
                <w:color w:val="5A5A5A"/>
                <w:sz w:val="18"/>
              </w:rPr>
              <w:t>Phase 2</w:t>
            </w:r>
          </w:p>
        </w:tc>
        <w:tc>
          <w:tcPr>
            <w:tcW w:type="dxa" w:w="3120"/>
            <w:shd w:val="clear" w:color="auto" w:fill="F5F5F5"/>
          </w:tcPr>
          <w:p>
            <w:pPr>
              <w:spacing w:after="60" w:before="60"/>
            </w:pPr>
            <w:r>
              <w:rPr>
                <w:color w:val="5A5A5A"/>
                <w:sz w:val="18"/>
              </w:rPr>
              <w:t>Structured risk report export (PDF)</w:t>
            </w:r>
          </w:p>
        </w:tc>
        <w:tc>
          <w:tcPr>
            <w:tcW w:type="dxa" w:w="3120"/>
            <w:shd w:val="clear" w:color="auto" w:fill="F5F5F5"/>
          </w:tcPr>
          <w:p>
            <w:pPr>
              <w:spacing w:after="60" w:before="60"/>
            </w:pPr>
            <w:r>
              <w:rPr>
                <w:color w:val="5A5A5A"/>
                <w:sz w:val="18"/>
              </w:rPr>
              <w:t>Formal risk assessment deliverable for legal/compliance</w:t>
            </w:r>
          </w:p>
        </w:tc>
      </w:tr>
      <w:tr>
        <w:tc>
          <w:tcPr>
            <w:tcW w:type="dxa" w:w="3120"/>
            <w:shd w:val="clear" w:color="auto" w:fill="FFFFFF"/>
          </w:tcPr>
          <w:p>
            <w:pPr>
              <w:spacing w:after="60" w:before="60"/>
            </w:pPr>
            <w:r>
              <w:rPr>
                <w:color w:val="5A5A5A"/>
                <w:sz w:val="18"/>
              </w:rPr>
              <w:t>Phase 3</w:t>
            </w:r>
          </w:p>
        </w:tc>
        <w:tc>
          <w:tcPr>
            <w:tcW w:type="dxa" w:w="3120"/>
            <w:shd w:val="clear" w:color="auto" w:fill="FFFFFF"/>
          </w:tcPr>
          <w:p>
            <w:pPr>
              <w:spacing w:after="60" w:before="60"/>
            </w:pPr>
            <w:r>
              <w:rPr>
                <w:color w:val="5A5A5A"/>
                <w:sz w:val="18"/>
              </w:rPr>
              <w:t>ERP / P2P system integration</w:t>
            </w:r>
          </w:p>
        </w:tc>
        <w:tc>
          <w:tcPr>
            <w:tcW w:type="dxa" w:w="3120"/>
            <w:shd w:val="clear" w:color="auto" w:fill="FFFFFF"/>
          </w:tcPr>
          <w:p>
            <w:pPr>
              <w:spacing w:after="60" w:before="60"/>
            </w:pPr>
            <w:r>
              <w:rPr>
                <w:color w:val="5A5A5A"/>
                <w:sz w:val="18"/>
              </w:rPr>
              <w:t>Auto-populate approved terms into procurement systems</w:t>
            </w:r>
          </w:p>
        </w:tc>
      </w:tr>
      <w:tr>
        <w:tc>
          <w:tcPr>
            <w:tcW w:type="dxa" w:w="3120"/>
            <w:shd w:val="clear" w:color="auto" w:fill="F5F5F5"/>
          </w:tcPr>
          <w:p>
            <w:pPr>
              <w:spacing w:after="60" w:before="60"/>
            </w:pPr>
            <w:r>
              <w:rPr>
                <w:color w:val="5A5A5A"/>
                <w:sz w:val="18"/>
              </w:rPr>
              <w:t>Phase 3</w:t>
            </w:r>
          </w:p>
        </w:tc>
        <w:tc>
          <w:tcPr>
            <w:tcW w:type="dxa" w:w="3120"/>
            <w:shd w:val="clear" w:color="auto" w:fill="F5F5F5"/>
          </w:tcPr>
          <w:p>
            <w:pPr>
              <w:spacing w:after="60" w:before="60"/>
            </w:pPr>
            <w:r>
              <w:rPr>
                <w:color w:val="5A5A5A"/>
                <w:sz w:val="18"/>
              </w:rPr>
              <w:t>Live benchmark data feeds</w:t>
            </w:r>
          </w:p>
        </w:tc>
        <w:tc>
          <w:tcPr>
            <w:tcW w:type="dxa" w:w="3120"/>
            <w:shd w:val="clear" w:color="auto" w:fill="F5F5F5"/>
          </w:tcPr>
          <w:p>
            <w:pPr>
              <w:spacing w:after="60" w:before="60"/>
            </w:pPr>
            <w:r>
              <w:rPr>
                <w:color w:val="5A5A5A"/>
                <w:sz w:val="18"/>
              </w:rPr>
              <w:t>Real-time rate data from market providers (e.g. Gartner, LinkedIn)</w:t>
            </w:r>
          </w:p>
        </w:tc>
      </w:tr>
      <w:tr>
        <w:tc>
          <w:tcPr>
            <w:tcW w:type="dxa" w:w="3120"/>
            <w:shd w:val="clear" w:color="auto" w:fill="FFFFFF"/>
          </w:tcPr>
          <w:p>
            <w:pPr>
              <w:spacing w:after="60" w:before="60"/>
            </w:pPr>
            <w:r>
              <w:rPr>
                <w:color w:val="5A5A5A"/>
                <w:sz w:val="18"/>
              </w:rPr>
              <w:t>Phase 3</w:t>
            </w:r>
          </w:p>
        </w:tc>
        <w:tc>
          <w:tcPr>
            <w:tcW w:type="dxa" w:w="3120"/>
            <w:shd w:val="clear" w:color="auto" w:fill="FFFFFF"/>
          </w:tcPr>
          <w:p>
            <w:pPr>
              <w:spacing w:after="60" w:before="60"/>
            </w:pPr>
            <w:r>
              <w:rPr>
                <w:color w:val="5A5A5A"/>
                <w:sz w:val="18"/>
              </w:rPr>
              <w:t>Multi-supplier negotiation orchestration</w:t>
            </w:r>
          </w:p>
        </w:tc>
        <w:tc>
          <w:tcPr>
            <w:tcW w:type="dxa" w:w="3120"/>
            <w:shd w:val="clear" w:color="auto" w:fill="FFFFFF"/>
          </w:tcPr>
          <w:p>
            <w:pPr>
              <w:spacing w:after="60" w:before="60"/>
            </w:pPr>
            <w:r>
              <w:rPr>
                <w:color w:val="5A5A5A"/>
                <w:sz w:val="18"/>
              </w:rPr>
              <w:t>Run parallel negotiations with competing vendors; select best outcome</w:t>
            </w:r>
          </w:p>
        </w:tc>
      </w:tr>
      <w:tr>
        <w:tc>
          <w:tcPr>
            <w:tcW w:type="dxa" w:w="3120"/>
            <w:shd w:val="clear" w:color="auto" w:fill="F5F5F5"/>
          </w:tcPr>
          <w:p>
            <w:pPr>
              <w:spacing w:after="60" w:before="60"/>
            </w:pPr>
            <w:r>
              <w:rPr>
                <w:color w:val="5A5A5A"/>
                <w:sz w:val="18"/>
              </w:rPr>
              <w:t>Phase 4</w:t>
            </w:r>
          </w:p>
        </w:tc>
        <w:tc>
          <w:tcPr>
            <w:tcW w:type="dxa" w:w="3120"/>
            <w:shd w:val="clear" w:color="auto" w:fill="F5F5F5"/>
          </w:tcPr>
          <w:p>
            <w:pPr>
              <w:spacing w:after="60" w:before="60"/>
            </w:pPr>
            <w:r>
              <w:rPr>
                <w:color w:val="5A5A5A"/>
                <w:sz w:val="18"/>
              </w:rPr>
              <w:t>Analytics dashboard</w:t>
            </w:r>
          </w:p>
        </w:tc>
        <w:tc>
          <w:tcPr>
            <w:tcW w:type="dxa" w:w="3120"/>
            <w:shd w:val="clear" w:color="auto" w:fill="F5F5F5"/>
          </w:tcPr>
          <w:p>
            <w:pPr>
              <w:spacing w:after="60" w:before="60"/>
            </w:pPr>
            <w:r>
              <w:rPr>
                <w:color w:val="5A5A5A"/>
                <w:sz w:val="18"/>
              </w:rPr>
              <w:t>Savings realised, win rate, average concession depth, role trends</w:t>
            </w:r>
          </w:p>
        </w:tc>
      </w:tr>
      <w:tr>
        <w:tc>
          <w:tcPr>
            <w:tcW w:type="dxa" w:w="3120"/>
            <w:shd w:val="clear" w:color="auto" w:fill="FFFFFF"/>
          </w:tcPr>
          <w:p>
            <w:pPr>
              <w:spacing w:after="60" w:before="60"/>
            </w:pPr>
            <w:r>
              <w:rPr>
                <w:color w:val="5A5A5A"/>
                <w:sz w:val="18"/>
              </w:rPr>
              <w:t>Phase 4</w:t>
            </w:r>
          </w:p>
        </w:tc>
        <w:tc>
          <w:tcPr>
            <w:tcW w:type="dxa" w:w="3120"/>
            <w:shd w:val="clear" w:color="auto" w:fill="FFFFFF"/>
          </w:tcPr>
          <w:p>
            <w:pPr>
              <w:spacing w:after="60" w:before="60"/>
            </w:pPr>
            <w:r>
              <w:rPr>
                <w:color w:val="5A5A5A"/>
                <w:sz w:val="18"/>
              </w:rPr>
              <w:t>Vendor-facing portal</w:t>
            </w:r>
          </w:p>
        </w:tc>
        <w:tc>
          <w:tcPr>
            <w:tcW w:type="dxa" w:w="3120"/>
            <w:shd w:val="clear" w:color="auto" w:fill="FFFFFF"/>
          </w:tcPr>
          <w:p>
            <w:pPr>
              <w:spacing w:after="60" w:before="60"/>
            </w:pPr>
            <w:r>
              <w:rPr>
                <w:color w:val="5A5A5A"/>
                <w:sz w:val="18"/>
              </w:rPr>
              <w:t>Vendors submit SOWs directly; agent negotiates in near-real-time</w:t>
            </w:r>
          </w:p>
        </w:tc>
      </w:tr>
    </w:tbl>
    <w:p/>
    <w:p>
      <w:pPr>
        <w:spacing w:before="360" w:after="80"/>
      </w:pPr>
      <w:r>
        <w:rPr>
          <w:b/>
          <w:color w:val="1A2B4A"/>
          <w:sz w:val="28"/>
        </w:rPr>
        <w:t>10. GLOSSARY</w:t>
      </w:r>
    </w:p>
    <w:p>
      <w:pPr>
        <w:pBdr>
          <w:bottom w:val="single" w:sz="6" w:space="1" w:color="E86C1E"/>
        </w:pBdr>
        <w:spacing w:after="120" w:before="0"/>
      </w:pP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A2B4A"/>
            <w:vAlign w:val="center"/>
          </w:tcPr>
          <w:p>
            <w:pPr>
              <w:spacing w:after="60" w:before="60"/>
            </w:pPr>
            <w:r>
              <w:rPr>
                <w:b/>
                <w:color w:val="FFFFFF"/>
                <w:sz w:val="18"/>
              </w:rPr>
              <w:t>Term</w:t>
            </w:r>
          </w:p>
        </w:tc>
        <w:tc>
          <w:tcPr>
            <w:tcW w:type="dxa" w:w="4680"/>
            <w:shd w:val="clear" w:color="auto" w:fill="1A2B4A"/>
            <w:vAlign w:val="center"/>
          </w:tcPr>
          <w:p>
            <w:pPr>
              <w:spacing w:after="60" w:before="60"/>
            </w:pPr>
            <w:r>
              <w:rPr>
                <w:b/>
                <w:color w:val="FFFFFF"/>
                <w:sz w:val="18"/>
              </w:rPr>
              <w:t>Definition</w:t>
            </w:r>
          </w:p>
        </w:tc>
      </w:tr>
      <w:tr>
        <w:tc>
          <w:tcPr>
            <w:tcW w:type="dxa" w:w="4680"/>
            <w:shd w:val="clear" w:color="auto" w:fill="F5F5F5"/>
          </w:tcPr>
          <w:p>
            <w:pPr>
              <w:spacing w:after="60" w:before="60"/>
            </w:pPr>
            <w:r>
              <w:rPr>
                <w:color w:val="5A5A5A"/>
                <w:sz w:val="18"/>
              </w:rPr>
              <w:t>SOW</w:t>
            </w:r>
          </w:p>
        </w:tc>
        <w:tc>
          <w:tcPr>
            <w:tcW w:type="dxa" w:w="4680"/>
            <w:shd w:val="clear" w:color="auto" w:fill="F5F5F5"/>
          </w:tcPr>
          <w:p>
            <w:pPr>
              <w:spacing w:after="60" w:before="60"/>
            </w:pPr>
            <w:r>
              <w:rPr>
                <w:color w:val="5A5A5A"/>
                <w:sz w:val="18"/>
              </w:rPr>
              <w:t>Statement of Work — a contract document defining the scope, deliverables, roles, rates, and terms of a professional services engagement</w:t>
            </w:r>
          </w:p>
        </w:tc>
      </w:tr>
      <w:tr>
        <w:tc>
          <w:tcPr>
            <w:tcW w:type="dxa" w:w="4680"/>
            <w:shd w:val="clear" w:color="auto" w:fill="FFFFFF"/>
          </w:tcPr>
          <w:p>
            <w:pPr>
              <w:spacing w:after="60" w:before="60"/>
            </w:pPr>
            <w:r>
              <w:rPr>
                <w:color w:val="5A5A5A"/>
                <w:sz w:val="18"/>
              </w:rPr>
              <w:t>p50 / Market Median</w:t>
            </w:r>
          </w:p>
        </w:tc>
        <w:tc>
          <w:tcPr>
            <w:tcW w:type="dxa" w:w="4680"/>
            <w:shd w:val="clear" w:color="auto" w:fill="FFFFFF"/>
          </w:tcPr>
          <w:p>
            <w:pPr>
              <w:spacing w:after="60" w:before="60"/>
            </w:pPr>
            <w:r>
              <w:rPr>
                <w:color w:val="5A5A5A"/>
                <w:sz w:val="18"/>
              </w:rPr>
              <w:t>The hourly rate at which 50% of market participants charge less and 50% charge more</w:t>
            </w:r>
          </w:p>
        </w:tc>
      </w:tr>
      <w:tr>
        <w:tc>
          <w:tcPr>
            <w:tcW w:type="dxa" w:w="4680"/>
            <w:shd w:val="clear" w:color="auto" w:fill="F5F5F5"/>
          </w:tcPr>
          <w:p>
            <w:pPr>
              <w:spacing w:after="60" w:before="60"/>
            </w:pPr>
            <w:r>
              <w:rPr>
                <w:color w:val="5A5A5A"/>
                <w:sz w:val="18"/>
              </w:rPr>
              <w:t>p75</w:t>
            </w:r>
          </w:p>
        </w:tc>
        <w:tc>
          <w:tcPr>
            <w:tcW w:type="dxa" w:w="4680"/>
            <w:shd w:val="clear" w:color="auto" w:fill="F5F5F5"/>
          </w:tcPr>
          <w:p>
            <w:pPr>
              <w:spacing w:after="60" w:before="60"/>
            </w:pPr>
            <w:r>
              <w:rPr>
                <w:color w:val="5A5A5A"/>
                <w:sz w:val="18"/>
              </w:rPr>
              <w:t>The rate at which 75% of market participants charge less — used as the standard maximum concession point</w:t>
            </w:r>
          </w:p>
        </w:tc>
      </w:tr>
      <w:tr>
        <w:tc>
          <w:tcPr>
            <w:tcW w:type="dxa" w:w="4680"/>
            <w:shd w:val="clear" w:color="auto" w:fill="FFFFFF"/>
          </w:tcPr>
          <w:p>
            <w:pPr>
              <w:spacing w:after="60" w:before="60"/>
            </w:pPr>
            <w:r>
              <w:rPr>
                <w:color w:val="5A5A5A"/>
                <w:sz w:val="18"/>
              </w:rPr>
              <w:t>p90</w:t>
            </w:r>
          </w:p>
        </w:tc>
        <w:tc>
          <w:tcPr>
            <w:tcW w:type="dxa" w:w="4680"/>
            <w:shd w:val="clear" w:color="auto" w:fill="FFFFFF"/>
          </w:tcPr>
          <w:p>
            <w:pPr>
              <w:spacing w:after="60" w:before="60"/>
            </w:pPr>
            <w:r>
              <w:rPr>
                <w:color w:val="5A5A5A"/>
                <w:sz w:val="18"/>
              </w:rPr>
              <w:t>The rate at which 90% of market participants charge less — reserved for specialist/niche roles</w:t>
            </w:r>
          </w:p>
        </w:tc>
      </w:tr>
      <w:tr>
        <w:tc>
          <w:tcPr>
            <w:tcW w:type="dxa" w:w="4680"/>
            <w:shd w:val="clear" w:color="auto" w:fill="F5F5F5"/>
          </w:tcPr>
          <w:p>
            <w:pPr>
              <w:spacing w:after="60" w:before="60"/>
            </w:pPr>
            <w:r>
              <w:rPr>
                <w:color w:val="5A5A5A"/>
                <w:sz w:val="18"/>
              </w:rPr>
              <w:t>Tool Use</w:t>
            </w:r>
          </w:p>
        </w:tc>
        <w:tc>
          <w:tcPr>
            <w:tcW w:type="dxa" w:w="4680"/>
            <w:shd w:val="clear" w:color="auto" w:fill="F5F5F5"/>
          </w:tcPr>
          <w:p>
            <w:pPr>
              <w:spacing w:after="60" w:before="60"/>
            </w:pPr>
            <w:r>
              <w:rPr>
                <w:color w:val="5A5A5A"/>
                <w:sz w:val="18"/>
              </w:rPr>
              <w:t>Anthropic's mechanism for Claude to call structured functions (tools) during a conversation</w:t>
            </w:r>
          </w:p>
        </w:tc>
      </w:tr>
      <w:tr>
        <w:tc>
          <w:tcPr>
            <w:tcW w:type="dxa" w:w="4680"/>
            <w:shd w:val="clear" w:color="auto" w:fill="FFFFFF"/>
          </w:tcPr>
          <w:p>
            <w:pPr>
              <w:spacing w:after="60" w:before="60"/>
            </w:pPr>
            <w:r>
              <w:rPr>
                <w:color w:val="5A5A5A"/>
                <w:sz w:val="18"/>
              </w:rPr>
              <w:t>Session</w:t>
            </w:r>
          </w:p>
        </w:tc>
        <w:tc>
          <w:tcPr>
            <w:tcW w:type="dxa" w:w="4680"/>
            <w:shd w:val="clear" w:color="auto" w:fill="FFFFFF"/>
          </w:tcPr>
          <w:p>
            <w:pPr>
              <w:spacing w:after="60" w:before="60"/>
            </w:pPr>
            <w:r>
              <w:rPr>
                <w:color w:val="5A5A5A"/>
                <w:sz w:val="18"/>
              </w:rPr>
              <w:t>A single negotiation lifecycle: from SOW upload through to buyer approval</w:t>
            </w:r>
          </w:p>
        </w:tc>
      </w:tr>
      <w:tr>
        <w:tc>
          <w:tcPr>
            <w:tcW w:type="dxa" w:w="4680"/>
            <w:shd w:val="clear" w:color="auto" w:fill="F5F5F5"/>
          </w:tcPr>
          <w:p>
            <w:pPr>
              <w:spacing w:after="60" w:before="60"/>
            </w:pPr>
            <w:r>
              <w:rPr>
                <w:color w:val="5A5A5A"/>
                <w:sz w:val="18"/>
              </w:rPr>
              <w:t>Concession Ladder</w:t>
            </w:r>
          </w:p>
        </w:tc>
        <w:tc>
          <w:tcPr>
            <w:tcW w:type="dxa" w:w="4680"/>
            <w:shd w:val="clear" w:color="auto" w:fill="F5F5F5"/>
          </w:tcPr>
          <w:p>
            <w:pPr>
              <w:spacing w:after="60" w:before="60"/>
            </w:pPr>
            <w:r>
              <w:rPr>
                <w:color w:val="5A5A5A"/>
                <w:sz w:val="18"/>
              </w:rPr>
              <w:t>The pre-defined sequence of rate offers an agent is authorised to make during negotiation</w:t>
            </w:r>
          </w:p>
        </w:tc>
      </w:tr>
      <w:tr>
        <w:tc>
          <w:tcPr>
            <w:tcW w:type="dxa" w:w="4680"/>
            <w:shd w:val="clear" w:color="auto" w:fill="FFFFFF"/>
          </w:tcPr>
          <w:p>
            <w:pPr>
              <w:spacing w:after="60" w:before="60"/>
            </w:pPr>
            <w:r>
              <w:rPr>
                <w:color w:val="5A5A5A"/>
                <w:sz w:val="18"/>
              </w:rPr>
              <w:t>Learning Loop</w:t>
            </w:r>
          </w:p>
        </w:tc>
        <w:tc>
          <w:tcPr>
            <w:tcW w:type="dxa" w:w="4680"/>
            <w:shd w:val="clear" w:color="auto" w:fill="FFFFFF"/>
          </w:tcPr>
          <w:p>
            <w:pPr>
              <w:spacing w:after="60" w:before="60"/>
            </w:pPr>
            <w:r>
              <w:rPr>
                <w:color w:val="5A5A5A"/>
                <w:sz w:val="18"/>
              </w:rPr>
              <w:t>The feedback mechanism by which past negotiation outcomes improve future agent behaviour</w:t>
            </w:r>
          </w:p>
        </w:tc>
      </w:tr>
    </w:tbl>
    <w:p/>
    <w:p>
      <w:r>
        <w:br w:type="page"/>
      </w:r>
    </w:p>
    <w:p>
      <w:pPr>
        <w:spacing w:before="360" w:after="80"/>
      </w:pPr>
      <w:r>
        <w:rPr>
          <w:b/>
          <w:color w:val="1A2B4A"/>
          <w:sz w:val="28"/>
        </w:rPr>
        <w:t>APPENDIX A — SOLUTION ARCHITECTURE DIAGRAM</w:t>
      </w:r>
    </w:p>
    <w:p>
      <w:pPr>
        <w:pBdr>
          <w:bottom w:val="single" w:sz="6" w:space="1" w:color="E86C1E"/>
        </w:pBdr>
        <w:spacing w:after="120" w:before="0"/>
      </w:pPr>
    </w:p>
    <w:p>
      <w:pPr>
        <w:spacing w:before="120"/>
        <w:jc w:val="center"/>
      </w:pPr>
      <w:r>
        <w:rPr>
          <w:b/>
          <w:i/>
          <w:color w:val="5A5A5A"/>
          <w:sz w:val="18"/>
        </w:rPr>
        <w:t>Figure 1: Contract Negotiation Agent — High-Level Solution Architecture</w:t>
      </w:r>
    </w:p>
    <w:p>
      <w:pPr>
        <w:spacing w:before="120" w:after="160"/>
        <w:jc w:val="center"/>
      </w:pPr>
      <w:r>
        <w:drawing>
          <wp:inline xmlns:a="http://schemas.openxmlformats.org/drawingml/2006/main" xmlns:pic="http://schemas.openxmlformats.org/drawingml/2006/picture">
            <wp:extent cx="6217920" cy="4365920"/>
            <wp:docPr id="1" name="Picture 1"/>
            <wp:cNvGraphicFramePr>
              <a:graphicFrameLocks noChangeAspect="1"/>
            </wp:cNvGraphicFramePr>
            <a:graphic>
              <a:graphicData uri="http://schemas.openxmlformats.org/drawingml/2006/picture">
                <pic:pic>
                  <pic:nvPicPr>
                    <pic:cNvPr id="0" name="Contract_Negotiation_Agent_Architecture.png"/>
                    <pic:cNvPicPr/>
                  </pic:nvPicPr>
                  <pic:blipFill>
                    <a:blip r:embed="rId9"/>
                    <a:stretch>
                      <a:fillRect/>
                    </a:stretch>
                  </pic:blipFill>
                  <pic:spPr>
                    <a:xfrm>
                      <a:off x="0" y="0"/>
                      <a:ext cx="6217920" cy="4365920"/>
                    </a:xfrm>
                    <a:prstGeom prst="rect"/>
                  </pic:spPr>
                </pic:pic>
              </a:graphicData>
            </a:graphic>
          </wp:inline>
        </w:drawing>
      </w:r>
    </w:p>
    <w:p>
      <w:pPr>
        <w:spacing w:before="160"/>
      </w:pPr>
      <w:r>
        <w:rPr>
          <w:b/>
          <w:color w:val="E86C1E"/>
          <w:sz w:val="20"/>
        </w:rPr>
        <w:t>Diagram Notes</w:t>
      </w:r>
    </w:p>
    <w:p>
      <w:pPr>
        <w:pStyle w:val="ListBullet"/>
        <w:spacing w:after="60"/>
      </w:pPr>
      <w:r>
        <w:rPr>
          <w:color w:val="5A5A5A"/>
          <w:sz w:val="18"/>
        </w:rPr>
        <w:t>All frontend-to-backend communication is via REST over HTTPS.</w:t>
      </w:r>
    </w:p>
    <w:p>
      <w:pPr>
        <w:pStyle w:val="ListBullet"/>
        <w:spacing w:after="60"/>
      </w:pPr>
      <w:r>
        <w:rPr>
          <w:color w:val="5A5A5A"/>
          <w:sz w:val="18"/>
        </w:rPr>
        <w:t>The AI Agent communicates with the Anthropic API (Claude Sonnet) using the tool-use pattern — Claude calls structured tools (extract_sow_data, lookup_benchmarks, save_feedback) rather than generating free-form responses for data operations.</w:t>
      </w:r>
    </w:p>
    <w:p>
      <w:pPr>
        <w:pStyle w:val="ListBullet"/>
        <w:spacing w:after="60"/>
      </w:pPr>
      <w:r>
        <w:rPr>
          <w:color w:val="5A5A5A"/>
          <w:sz w:val="18"/>
        </w:rPr>
        <w:t>Session state is currently held in-memory on the backend process; a persistent store (e.g. PostgreSQL/Redis) is recommended for production.</w:t>
      </w:r>
    </w:p>
    <w:p>
      <w:pPr>
        <w:pStyle w:val="ListBullet"/>
        <w:spacing w:after="60"/>
      </w:pPr>
      <w:r>
        <w:rPr>
          <w:color w:val="5A5A5A"/>
          <w:sz w:val="18"/>
        </w:rPr>
        <w:t>The Feedback Store (store.json) is read at session start to inject the last 8 sessions' learning context into the agent system prompt.</w:t>
      </w:r>
    </w:p>
    <w:p>
      <w:pPr>
        <w:pStyle w:val="ListBullet"/>
        <w:spacing w:after="60"/>
      </w:pPr>
      <w:r>
        <w:rPr>
          <w:color w:val="5A5A5A"/>
          <w:sz w:val="18"/>
        </w:rPr>
        <w:t>Deployment targets: Backend → Railway.app (Docker), Frontend → Vercel (Next.js).</w:t>
      </w:r>
    </w:p>
    <w:sectPr w:rsidR="00FC693F" w:rsidRPr="0006063C" w:rsidSect="00034616">
      <w:pgSz w:w="12240" w:h="15840"/>
      <w:pgMar w:top="1417" w:right="1440" w:bottom="141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