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58DF0" w14:textId="77777777" w:rsidR="00DE2226" w:rsidRDefault="000750BF" w:rsidP="000750BF">
      <w:pPr>
        <w:pStyle w:val="IntenseQuote"/>
      </w:pPr>
      <w:r>
        <w:t>Returns</w:t>
      </w:r>
    </w:p>
    <w:p w14:paraId="1B811927" w14:textId="77777777" w:rsidR="00DE2226" w:rsidRPr="00DE2226" w:rsidRDefault="00DE2226" w:rsidP="00DE2226"/>
    <w:tbl>
      <w:tblPr>
        <w:tblStyle w:val="GridTable6Colorful-Accent3"/>
        <w:tblW w:w="9076" w:type="dxa"/>
        <w:tblBorders>
          <w:top w:val="dotted" w:sz="4" w:space="0" w:color="A5A5A5" w:themeColor="accent3"/>
          <w:left w:val="dotted" w:sz="4" w:space="0" w:color="A5A5A5" w:themeColor="accent3"/>
          <w:bottom w:val="dotted" w:sz="4" w:space="0" w:color="A5A5A5" w:themeColor="accent3"/>
          <w:right w:val="dotted" w:sz="4" w:space="0" w:color="A5A5A5" w:themeColor="accent3"/>
          <w:insideH w:val="dotted" w:sz="4" w:space="0" w:color="A5A5A5" w:themeColor="accent3"/>
          <w:insideV w:val="dotted" w:sz="4" w:space="0" w:color="A5A5A5" w:themeColor="accent3"/>
        </w:tblBorders>
        <w:tblLook w:val="0420" w:firstRow="1" w:lastRow="0" w:firstColumn="0" w:lastColumn="0" w:noHBand="0" w:noVBand="1"/>
      </w:tblPr>
      <w:tblGrid>
        <w:gridCol w:w="1009"/>
        <w:gridCol w:w="862"/>
        <w:gridCol w:w="992"/>
        <w:gridCol w:w="789"/>
        <w:gridCol w:w="884"/>
        <w:gridCol w:w="808"/>
        <w:gridCol w:w="869"/>
        <w:gridCol w:w="460"/>
        <w:gridCol w:w="460"/>
        <w:gridCol w:w="640"/>
        <w:gridCol w:w="496"/>
        <w:gridCol w:w="807"/>
      </w:tblGrid>
      <w:tr w:rsidR="0091180C" w:rsidRPr="00BD4DAB" w14:paraId="72D3B7F2" w14:textId="77777777" w:rsidTr="00E63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tcW w:w="1009" w:type="dxa"/>
            <w:vMerge w:val="restart"/>
            <w:tcBorders>
              <w:bottom w:val="single" w:sz="12" w:space="0" w:color="A5A5A5" w:themeColor="accent3"/>
            </w:tcBorders>
          </w:tcPr>
          <w:p w14:paraId="7C90A60F" w14:textId="638A0F93" w:rsidR="00182871" w:rsidRPr="00BD4DAB" w:rsidRDefault="00182871" w:rsidP="009F4698">
            <w:pPr>
              <w:pStyle w:val="NoSpacing"/>
              <w:rPr>
                <w:i/>
                <w:iCs/>
                <w:color w:val="FFFFFF" w:themeColor="background1"/>
                <w:sz w:val="12"/>
                <w:szCs w:val="12"/>
              </w:rPr>
            </w:pPr>
            <w:r w:rsidRPr="00BD4DAB">
              <w:rPr>
                <w:i/>
                <w:iCs/>
                <w:sz w:val="12"/>
                <w:szCs w:val="12"/>
              </w:rPr>
              <w:t>Index</w:t>
            </w:r>
          </w:p>
        </w:tc>
        <w:tc>
          <w:tcPr>
            <w:tcW w:w="862" w:type="dxa"/>
            <w:vMerge w:val="restart"/>
            <w:tcBorders>
              <w:bottom w:val="single" w:sz="12" w:space="0" w:color="A5A5A5" w:themeColor="accent3"/>
            </w:tcBorders>
          </w:tcPr>
          <w:p w14:paraId="103F55BA" w14:textId="7744E64A" w:rsidR="00182871" w:rsidRPr="00BD4DAB" w:rsidRDefault="00182871" w:rsidP="009F4698">
            <w:pPr>
              <w:pStyle w:val="NoSpacing"/>
              <w:jc w:val="center"/>
              <w:rPr>
                <w:i/>
                <w:iCs/>
                <w:sz w:val="12"/>
                <w:szCs w:val="12"/>
              </w:rPr>
            </w:pPr>
            <w:r w:rsidRPr="00BD4DAB">
              <w:rPr>
                <w:i/>
                <w:iCs/>
                <w:sz w:val="12"/>
                <w:szCs w:val="12"/>
              </w:rPr>
              <w:t>Abbreviation</w:t>
            </w:r>
          </w:p>
        </w:tc>
        <w:tc>
          <w:tcPr>
            <w:tcW w:w="992" w:type="dxa"/>
            <w:vMerge w:val="restart"/>
            <w:tcBorders>
              <w:bottom w:val="single" w:sz="12" w:space="0" w:color="A5A5A5" w:themeColor="accent3"/>
            </w:tcBorders>
          </w:tcPr>
          <w:p w14:paraId="543F7F0A" w14:textId="1728B89E" w:rsidR="00182871" w:rsidRPr="00BD4DAB" w:rsidRDefault="00182871" w:rsidP="009F4698">
            <w:pPr>
              <w:pStyle w:val="NoSpacing"/>
              <w:jc w:val="center"/>
              <w:rPr>
                <w:i/>
                <w:iCs/>
                <w:color w:val="FFFFFF" w:themeColor="background1"/>
                <w:sz w:val="12"/>
                <w:szCs w:val="12"/>
              </w:rPr>
            </w:pPr>
            <w:r w:rsidRPr="00BD4DAB">
              <w:rPr>
                <w:i/>
                <w:iCs/>
                <w:sz w:val="12"/>
                <w:szCs w:val="12"/>
              </w:rPr>
              <w:t>ISIN Identifier</w:t>
            </w:r>
          </w:p>
        </w:tc>
        <w:tc>
          <w:tcPr>
            <w:tcW w:w="789" w:type="dxa"/>
            <w:vMerge w:val="restart"/>
            <w:tcBorders>
              <w:bottom w:val="single" w:sz="12" w:space="0" w:color="A5A5A5" w:themeColor="accent3"/>
            </w:tcBorders>
          </w:tcPr>
          <w:p w14:paraId="1D5128F4" w14:textId="47F16940" w:rsidR="00182871" w:rsidRPr="00BD4DAB" w:rsidRDefault="00182871" w:rsidP="0091180C">
            <w:pPr>
              <w:pStyle w:val="NoSpacing"/>
              <w:rPr>
                <w:i/>
                <w:iCs/>
                <w:sz w:val="12"/>
                <w:szCs w:val="12"/>
              </w:rPr>
            </w:pPr>
            <w:r w:rsidRPr="00BD4DAB">
              <w:rPr>
                <w:i/>
                <w:iCs/>
                <w:sz w:val="12"/>
                <w:szCs w:val="12"/>
              </w:rPr>
              <w:t>Mnemonic</w:t>
            </w:r>
          </w:p>
        </w:tc>
        <w:tc>
          <w:tcPr>
            <w:tcW w:w="884" w:type="dxa"/>
            <w:vMerge w:val="restart"/>
            <w:tcBorders>
              <w:bottom w:val="single" w:sz="12" w:space="0" w:color="A5A5A5" w:themeColor="accent3"/>
            </w:tcBorders>
          </w:tcPr>
          <w:p w14:paraId="22F98A8F" w14:textId="2E95208D" w:rsidR="00182871" w:rsidRPr="00BD4DAB" w:rsidRDefault="00182871" w:rsidP="009F4698">
            <w:pPr>
              <w:pStyle w:val="NoSpacing"/>
              <w:jc w:val="center"/>
              <w:rPr>
                <w:i/>
                <w:iCs/>
                <w:color w:val="FFFFFF" w:themeColor="background1"/>
                <w:sz w:val="12"/>
                <w:szCs w:val="12"/>
              </w:rPr>
            </w:pPr>
            <w:r w:rsidRPr="00BD4DAB">
              <w:rPr>
                <w:i/>
                <w:iCs/>
                <w:sz w:val="12"/>
                <w:szCs w:val="12"/>
              </w:rPr>
              <w:t>Region</w:t>
            </w:r>
          </w:p>
        </w:tc>
        <w:tc>
          <w:tcPr>
            <w:tcW w:w="1677" w:type="dxa"/>
            <w:gridSpan w:val="2"/>
            <w:tcBorders>
              <w:bottom w:val="dotted" w:sz="4" w:space="0" w:color="A5A5A5" w:themeColor="accent3"/>
            </w:tcBorders>
          </w:tcPr>
          <w:p w14:paraId="33996053" w14:textId="13EE19AF" w:rsidR="00182871" w:rsidRPr="00BD4DAB" w:rsidRDefault="00182871" w:rsidP="009F4698">
            <w:pPr>
              <w:pStyle w:val="NoSpacing"/>
              <w:jc w:val="center"/>
              <w:rPr>
                <w:i/>
                <w:iCs/>
                <w:color w:val="FFFFFF" w:themeColor="background1"/>
                <w:sz w:val="12"/>
                <w:szCs w:val="12"/>
              </w:rPr>
            </w:pPr>
            <w:r w:rsidRPr="00BD4DAB">
              <w:rPr>
                <w:i/>
                <w:iCs/>
                <w:sz w:val="12"/>
                <w:szCs w:val="12"/>
              </w:rPr>
              <w:t>Data Available for Index</w:t>
            </w:r>
          </w:p>
        </w:tc>
        <w:tc>
          <w:tcPr>
            <w:tcW w:w="1560" w:type="dxa"/>
            <w:gridSpan w:val="3"/>
            <w:tcBorders>
              <w:bottom w:val="dotted" w:sz="4" w:space="0" w:color="A5A5A5" w:themeColor="accent3"/>
            </w:tcBorders>
          </w:tcPr>
          <w:p w14:paraId="115B1C5C" w14:textId="2EF5B392" w:rsidR="00182871" w:rsidRPr="00BD4DAB" w:rsidRDefault="00182871" w:rsidP="009F4698">
            <w:pPr>
              <w:pStyle w:val="NoSpacing"/>
              <w:jc w:val="center"/>
              <w:rPr>
                <w:i/>
                <w:iCs/>
                <w:color w:val="FFFFFF" w:themeColor="background1"/>
                <w:sz w:val="12"/>
                <w:szCs w:val="12"/>
              </w:rPr>
            </w:pPr>
            <w:r w:rsidRPr="00BD4DAB">
              <w:rPr>
                <w:i/>
                <w:iCs/>
                <w:sz w:val="12"/>
                <w:szCs w:val="12"/>
              </w:rPr>
              <w:t>Data Available for Stocks</w:t>
            </w:r>
          </w:p>
        </w:tc>
        <w:tc>
          <w:tcPr>
            <w:tcW w:w="1303" w:type="dxa"/>
            <w:gridSpan w:val="2"/>
            <w:tcBorders>
              <w:bottom w:val="dotted" w:sz="4" w:space="0" w:color="A5A5A5" w:themeColor="accent3"/>
            </w:tcBorders>
          </w:tcPr>
          <w:p w14:paraId="74142F6F" w14:textId="78A2B91B" w:rsidR="00182871" w:rsidRPr="00BD4DAB" w:rsidRDefault="00182871" w:rsidP="009F4698">
            <w:pPr>
              <w:pStyle w:val="NoSpacing"/>
              <w:jc w:val="center"/>
              <w:rPr>
                <w:i/>
                <w:iCs/>
                <w:color w:val="FFFFFF" w:themeColor="background1"/>
                <w:sz w:val="12"/>
                <w:szCs w:val="12"/>
              </w:rPr>
            </w:pPr>
            <w:r w:rsidRPr="009F4698">
              <w:rPr>
                <w:i/>
                <w:iCs/>
                <w:sz w:val="12"/>
                <w:szCs w:val="12"/>
              </w:rPr>
              <w:t>Period Analysed</w:t>
            </w:r>
          </w:p>
        </w:tc>
      </w:tr>
      <w:tr w:rsidR="0091180C" w:rsidRPr="00BD4DAB" w14:paraId="0CB006F8" w14:textId="77777777" w:rsidTr="00E63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tcW w:w="1009" w:type="dxa"/>
            <w:vMerge/>
            <w:tcBorders>
              <w:bottom w:val="single" w:sz="12" w:space="0" w:color="A5A5A5" w:themeColor="accent3"/>
            </w:tcBorders>
          </w:tcPr>
          <w:p w14:paraId="26882F91" w14:textId="77777777" w:rsidR="00182871" w:rsidRPr="00BD4DAB" w:rsidRDefault="00182871" w:rsidP="009F4698">
            <w:pPr>
              <w:pStyle w:val="NoSpacing"/>
              <w:rPr>
                <w:b/>
                <w:bCs/>
                <w:i/>
                <w:iCs/>
                <w:color w:val="FFFFFF" w:themeColor="background1"/>
                <w:sz w:val="12"/>
                <w:szCs w:val="12"/>
              </w:rPr>
            </w:pPr>
          </w:p>
        </w:tc>
        <w:tc>
          <w:tcPr>
            <w:tcW w:w="862" w:type="dxa"/>
            <w:vMerge/>
            <w:tcBorders>
              <w:bottom w:val="single" w:sz="12" w:space="0" w:color="A5A5A5" w:themeColor="accent3"/>
            </w:tcBorders>
          </w:tcPr>
          <w:p w14:paraId="6B7AD4A7" w14:textId="77777777" w:rsidR="00182871" w:rsidRPr="00BD4DAB" w:rsidRDefault="00182871" w:rsidP="009F4698">
            <w:pPr>
              <w:pStyle w:val="NoSpacing"/>
              <w:jc w:val="center"/>
              <w:rPr>
                <w:b/>
                <w:bCs/>
                <w:i/>
                <w:iCs/>
                <w:color w:val="FFFFFF" w:themeColor="background1"/>
                <w:sz w:val="12"/>
                <w:szCs w:val="12"/>
              </w:rPr>
            </w:pPr>
          </w:p>
        </w:tc>
        <w:tc>
          <w:tcPr>
            <w:tcW w:w="992" w:type="dxa"/>
            <w:vMerge/>
            <w:tcBorders>
              <w:bottom w:val="single" w:sz="12" w:space="0" w:color="A5A5A5" w:themeColor="accent3"/>
            </w:tcBorders>
          </w:tcPr>
          <w:p w14:paraId="51959E13" w14:textId="68C86941" w:rsidR="00182871" w:rsidRPr="00BD4DAB" w:rsidRDefault="00182871" w:rsidP="009F4698">
            <w:pPr>
              <w:pStyle w:val="NoSpacing"/>
              <w:jc w:val="center"/>
              <w:rPr>
                <w:b/>
                <w:bCs/>
                <w:i/>
                <w:iCs/>
                <w:color w:val="FFFFFF" w:themeColor="background1"/>
                <w:sz w:val="12"/>
                <w:szCs w:val="12"/>
              </w:rPr>
            </w:pPr>
          </w:p>
        </w:tc>
        <w:tc>
          <w:tcPr>
            <w:tcW w:w="789" w:type="dxa"/>
            <w:vMerge/>
            <w:tcBorders>
              <w:bottom w:val="single" w:sz="12" w:space="0" w:color="A5A5A5" w:themeColor="accent3"/>
            </w:tcBorders>
          </w:tcPr>
          <w:p w14:paraId="1803D663" w14:textId="77777777" w:rsidR="00182871" w:rsidRPr="00BD4DAB" w:rsidRDefault="00182871" w:rsidP="009F4698">
            <w:pPr>
              <w:pStyle w:val="NoSpacing"/>
              <w:jc w:val="center"/>
              <w:rPr>
                <w:b/>
                <w:bCs/>
                <w:i/>
                <w:iCs/>
                <w:color w:val="FFFFFF" w:themeColor="background1"/>
                <w:sz w:val="12"/>
                <w:szCs w:val="12"/>
              </w:rPr>
            </w:pPr>
          </w:p>
        </w:tc>
        <w:tc>
          <w:tcPr>
            <w:tcW w:w="884" w:type="dxa"/>
            <w:vMerge/>
            <w:tcBorders>
              <w:bottom w:val="single" w:sz="12" w:space="0" w:color="A5A5A5" w:themeColor="accent3"/>
            </w:tcBorders>
          </w:tcPr>
          <w:p w14:paraId="73DE14EB" w14:textId="0AD303D8" w:rsidR="00182871" w:rsidRPr="00BD4DAB" w:rsidRDefault="00182871" w:rsidP="009F4698">
            <w:pPr>
              <w:pStyle w:val="NoSpacing"/>
              <w:jc w:val="center"/>
              <w:rPr>
                <w:b/>
                <w:bCs/>
                <w:i/>
                <w:iCs/>
                <w:color w:val="FFFFFF" w:themeColor="background1"/>
                <w:sz w:val="12"/>
                <w:szCs w:val="12"/>
              </w:rPr>
            </w:pPr>
          </w:p>
        </w:tc>
        <w:tc>
          <w:tcPr>
            <w:tcW w:w="808" w:type="dxa"/>
            <w:tcBorders>
              <w:bottom w:val="single" w:sz="12" w:space="0" w:color="A5A5A5" w:themeColor="accent3"/>
            </w:tcBorders>
            <w:shd w:val="clear" w:color="auto" w:fill="FFFFFF" w:themeFill="background1"/>
          </w:tcPr>
          <w:p w14:paraId="29D5694B" w14:textId="53744DA7" w:rsidR="00182871" w:rsidRPr="009F4698" w:rsidRDefault="00182871" w:rsidP="009F4698">
            <w:pPr>
              <w:pStyle w:val="NoSpacing"/>
              <w:jc w:val="center"/>
              <w:rPr>
                <w:b/>
                <w:bCs/>
                <w:i/>
                <w:iCs/>
                <w:color w:val="A5A5A5" w:themeColor="accent3"/>
                <w:sz w:val="12"/>
                <w:szCs w:val="12"/>
              </w:rPr>
            </w:pPr>
            <w:r w:rsidRPr="009F4698">
              <w:rPr>
                <w:b/>
                <w:bCs/>
                <w:i/>
                <w:iCs/>
                <w:color w:val="A5A5A5" w:themeColor="accent3"/>
                <w:sz w:val="12"/>
                <w:szCs w:val="12"/>
              </w:rPr>
              <w:t>Start</w:t>
            </w:r>
          </w:p>
        </w:tc>
        <w:tc>
          <w:tcPr>
            <w:tcW w:w="869" w:type="dxa"/>
            <w:tcBorders>
              <w:bottom w:val="single" w:sz="12" w:space="0" w:color="A5A5A5" w:themeColor="accent3"/>
            </w:tcBorders>
            <w:shd w:val="clear" w:color="auto" w:fill="FFFFFF" w:themeFill="background1"/>
          </w:tcPr>
          <w:p w14:paraId="7B3527B4" w14:textId="580DA649" w:rsidR="00182871" w:rsidRPr="009F4698" w:rsidRDefault="00182871" w:rsidP="009F4698">
            <w:pPr>
              <w:pStyle w:val="NoSpacing"/>
              <w:jc w:val="center"/>
              <w:rPr>
                <w:b/>
                <w:bCs/>
                <w:i/>
                <w:iCs/>
                <w:color w:val="A5A5A5" w:themeColor="accent3"/>
                <w:sz w:val="12"/>
                <w:szCs w:val="12"/>
              </w:rPr>
            </w:pPr>
            <w:commentRangeStart w:id="0"/>
            <w:r w:rsidRPr="009F4698">
              <w:rPr>
                <w:b/>
                <w:bCs/>
                <w:i/>
                <w:iCs/>
                <w:color w:val="A5A5A5" w:themeColor="accent3"/>
                <w:sz w:val="12"/>
                <w:szCs w:val="12"/>
              </w:rPr>
              <w:t>End</w:t>
            </w:r>
            <w:commentRangeEnd w:id="0"/>
            <w:r w:rsidR="00666326">
              <w:rPr>
                <w:rStyle w:val="CommentReference"/>
                <w:color w:val="auto"/>
              </w:rPr>
              <w:commentReference w:id="0"/>
            </w:r>
          </w:p>
        </w:tc>
        <w:tc>
          <w:tcPr>
            <w:tcW w:w="460" w:type="dxa"/>
            <w:tcBorders>
              <w:bottom w:val="single" w:sz="12" w:space="0" w:color="A5A5A5" w:themeColor="accent3"/>
            </w:tcBorders>
            <w:shd w:val="clear" w:color="auto" w:fill="FFFFFF" w:themeFill="background1"/>
          </w:tcPr>
          <w:p w14:paraId="41410CD7" w14:textId="7D9FB655" w:rsidR="00182871" w:rsidRPr="009F4698" w:rsidRDefault="00182871" w:rsidP="009F4698">
            <w:pPr>
              <w:pStyle w:val="NoSpacing"/>
              <w:jc w:val="center"/>
              <w:rPr>
                <w:b/>
                <w:bCs/>
                <w:i/>
                <w:iCs/>
                <w:color w:val="A5A5A5" w:themeColor="accent3"/>
                <w:sz w:val="12"/>
                <w:szCs w:val="12"/>
              </w:rPr>
            </w:pPr>
            <w:r w:rsidRPr="009F4698">
              <w:rPr>
                <w:b/>
                <w:bCs/>
                <w:i/>
                <w:iCs/>
                <w:color w:val="A5A5A5" w:themeColor="accent3"/>
                <w:sz w:val="12"/>
                <w:szCs w:val="12"/>
              </w:rPr>
              <w:t>Start</w:t>
            </w:r>
          </w:p>
        </w:tc>
        <w:tc>
          <w:tcPr>
            <w:tcW w:w="460" w:type="dxa"/>
            <w:tcBorders>
              <w:bottom w:val="single" w:sz="12" w:space="0" w:color="A5A5A5" w:themeColor="accent3"/>
            </w:tcBorders>
            <w:shd w:val="clear" w:color="auto" w:fill="FFFFFF" w:themeFill="background1"/>
          </w:tcPr>
          <w:p w14:paraId="77967609" w14:textId="34B6D0A0" w:rsidR="00182871" w:rsidRPr="009F4698" w:rsidRDefault="00182871" w:rsidP="009F4698">
            <w:pPr>
              <w:pStyle w:val="NoSpacing"/>
              <w:jc w:val="center"/>
              <w:rPr>
                <w:b/>
                <w:bCs/>
                <w:i/>
                <w:iCs/>
                <w:color w:val="A5A5A5" w:themeColor="accent3"/>
                <w:sz w:val="12"/>
                <w:szCs w:val="12"/>
              </w:rPr>
            </w:pPr>
            <w:r w:rsidRPr="009F4698">
              <w:rPr>
                <w:b/>
                <w:bCs/>
                <w:i/>
                <w:iCs/>
                <w:color w:val="A5A5A5" w:themeColor="accent3"/>
                <w:sz w:val="12"/>
                <w:szCs w:val="12"/>
              </w:rPr>
              <w:t>End</w:t>
            </w:r>
          </w:p>
        </w:tc>
        <w:tc>
          <w:tcPr>
            <w:tcW w:w="640" w:type="dxa"/>
            <w:tcBorders>
              <w:bottom w:val="single" w:sz="12" w:space="0" w:color="A5A5A5" w:themeColor="accent3"/>
            </w:tcBorders>
            <w:shd w:val="clear" w:color="auto" w:fill="FFFFFF" w:themeFill="background1"/>
          </w:tcPr>
          <w:p w14:paraId="2A31D3D1" w14:textId="49CAE049" w:rsidR="00182871" w:rsidRPr="009F4698" w:rsidRDefault="00182871" w:rsidP="009F4698">
            <w:pPr>
              <w:pStyle w:val="NoSpacing"/>
              <w:jc w:val="center"/>
              <w:rPr>
                <w:b/>
                <w:bCs/>
                <w:i/>
                <w:iCs/>
                <w:color w:val="A5A5A5" w:themeColor="accent3"/>
                <w:sz w:val="12"/>
                <w:szCs w:val="12"/>
              </w:rPr>
            </w:pPr>
            <w:r w:rsidRPr="009F4698">
              <w:rPr>
                <w:b/>
                <w:bCs/>
                <w:i/>
                <w:iCs/>
                <w:color w:val="A5A5A5" w:themeColor="accent3"/>
                <w:sz w:val="12"/>
                <w:szCs w:val="12"/>
              </w:rPr>
              <w:t xml:space="preserve">#Stocks </w:t>
            </w:r>
            <w:r w:rsidR="001A284B">
              <w:rPr>
                <w:b/>
                <w:bCs/>
                <w:i/>
                <w:iCs/>
                <w:color w:val="A5A5A5" w:themeColor="accent3"/>
                <w:sz w:val="12"/>
                <w:szCs w:val="12"/>
              </w:rPr>
              <w:t xml:space="preserve">per </w:t>
            </w:r>
            <w:r w:rsidRPr="009F4698">
              <w:rPr>
                <w:b/>
                <w:bCs/>
                <w:i/>
                <w:iCs/>
                <w:color w:val="A5A5A5" w:themeColor="accent3"/>
                <w:sz w:val="12"/>
                <w:szCs w:val="12"/>
              </w:rPr>
              <w:t>month</w:t>
            </w:r>
          </w:p>
        </w:tc>
        <w:tc>
          <w:tcPr>
            <w:tcW w:w="496" w:type="dxa"/>
            <w:tcBorders>
              <w:bottom w:val="single" w:sz="12" w:space="0" w:color="A5A5A5" w:themeColor="accent3"/>
            </w:tcBorders>
            <w:shd w:val="clear" w:color="auto" w:fill="FFFFFF" w:themeFill="background1"/>
          </w:tcPr>
          <w:p w14:paraId="5B838CDA" w14:textId="6F5BA766" w:rsidR="00182871" w:rsidRPr="009F4698" w:rsidRDefault="00182871" w:rsidP="009F4698">
            <w:pPr>
              <w:pStyle w:val="NoSpacing"/>
              <w:jc w:val="center"/>
              <w:rPr>
                <w:b/>
                <w:bCs/>
                <w:i/>
                <w:iCs/>
                <w:color w:val="A5A5A5" w:themeColor="accent3"/>
                <w:sz w:val="12"/>
                <w:szCs w:val="12"/>
              </w:rPr>
            </w:pPr>
            <w:r w:rsidRPr="009F4698">
              <w:rPr>
                <w:b/>
                <w:bCs/>
                <w:i/>
                <w:iCs/>
                <w:color w:val="A5A5A5" w:themeColor="accent3"/>
                <w:sz w:val="12"/>
                <w:szCs w:val="12"/>
              </w:rPr>
              <w:t>Start</w:t>
            </w:r>
          </w:p>
        </w:tc>
        <w:tc>
          <w:tcPr>
            <w:tcW w:w="807" w:type="dxa"/>
            <w:tcBorders>
              <w:bottom w:val="single" w:sz="12" w:space="0" w:color="A5A5A5" w:themeColor="accent3"/>
            </w:tcBorders>
            <w:shd w:val="clear" w:color="auto" w:fill="FFFFFF" w:themeFill="background1"/>
          </w:tcPr>
          <w:p w14:paraId="623B209E" w14:textId="2B62D2A3" w:rsidR="00182871" w:rsidRPr="009F4698" w:rsidRDefault="00182871" w:rsidP="009F4698">
            <w:pPr>
              <w:pStyle w:val="NoSpacing"/>
              <w:jc w:val="center"/>
              <w:rPr>
                <w:b/>
                <w:bCs/>
                <w:i/>
                <w:iCs/>
                <w:color w:val="A5A5A5" w:themeColor="accent3"/>
                <w:sz w:val="12"/>
                <w:szCs w:val="12"/>
              </w:rPr>
            </w:pPr>
            <w:r w:rsidRPr="009F4698">
              <w:rPr>
                <w:b/>
                <w:bCs/>
                <w:i/>
                <w:iCs/>
                <w:color w:val="A5A5A5" w:themeColor="accent3"/>
                <w:sz w:val="12"/>
                <w:szCs w:val="12"/>
              </w:rPr>
              <w:t>End</w:t>
            </w:r>
          </w:p>
        </w:tc>
      </w:tr>
      <w:tr w:rsidR="0091180C" w:rsidRPr="00BD4DAB" w14:paraId="5B5F9AA0" w14:textId="77777777" w:rsidTr="00E638AD">
        <w:trPr>
          <w:trHeight w:val="283"/>
        </w:trPr>
        <w:tc>
          <w:tcPr>
            <w:tcW w:w="1009" w:type="dxa"/>
            <w:tcBorders>
              <w:top w:val="single" w:sz="12" w:space="0" w:color="A5A5A5" w:themeColor="accent3"/>
            </w:tcBorders>
          </w:tcPr>
          <w:p w14:paraId="30601C4B" w14:textId="77777777" w:rsidR="005A1243" w:rsidRPr="009F4698" w:rsidRDefault="005A1243" w:rsidP="009F4698">
            <w:pPr>
              <w:pStyle w:val="NoSpacing"/>
              <w:rPr>
                <w:b/>
                <w:bCs/>
                <w:i/>
                <w:iCs/>
                <w:sz w:val="12"/>
                <w:szCs w:val="12"/>
              </w:rPr>
            </w:pPr>
            <w:r w:rsidRPr="009F4698">
              <w:rPr>
                <w:b/>
                <w:bCs/>
                <w:i/>
                <w:iCs/>
                <w:sz w:val="12"/>
                <w:szCs w:val="12"/>
              </w:rPr>
              <w:t>Amsterdam Exchange Index</w:t>
            </w:r>
          </w:p>
        </w:tc>
        <w:tc>
          <w:tcPr>
            <w:tcW w:w="862" w:type="dxa"/>
            <w:tcBorders>
              <w:top w:val="single" w:sz="12" w:space="0" w:color="A5A5A5" w:themeColor="accent3"/>
            </w:tcBorders>
          </w:tcPr>
          <w:p w14:paraId="722A33DF" w14:textId="77777777" w:rsidR="005A1243" w:rsidRPr="00BD4DAB" w:rsidRDefault="005A1243" w:rsidP="009F4698">
            <w:pPr>
              <w:pStyle w:val="NoSpacing"/>
              <w:jc w:val="center"/>
              <w:rPr>
                <w:sz w:val="12"/>
                <w:szCs w:val="12"/>
              </w:rPr>
            </w:pPr>
            <w:r w:rsidRPr="00BD4DAB">
              <w:rPr>
                <w:sz w:val="12"/>
                <w:szCs w:val="12"/>
              </w:rPr>
              <w:t>AEX</w:t>
            </w:r>
          </w:p>
        </w:tc>
        <w:tc>
          <w:tcPr>
            <w:tcW w:w="992" w:type="dxa"/>
            <w:tcBorders>
              <w:top w:val="single" w:sz="12" w:space="0" w:color="A5A5A5" w:themeColor="accent3"/>
            </w:tcBorders>
          </w:tcPr>
          <w:p w14:paraId="5814EEEB" w14:textId="77777777" w:rsidR="005A1243" w:rsidRPr="00BD4DAB" w:rsidRDefault="005A1243" w:rsidP="009F4698">
            <w:pPr>
              <w:pStyle w:val="NoSpacing"/>
              <w:jc w:val="center"/>
              <w:rPr>
                <w:sz w:val="12"/>
                <w:szCs w:val="12"/>
              </w:rPr>
            </w:pPr>
            <w:r w:rsidRPr="00C37EAB">
              <w:rPr>
                <w:sz w:val="12"/>
                <w:szCs w:val="12"/>
              </w:rPr>
              <w:t>NL0000000107</w:t>
            </w:r>
          </w:p>
        </w:tc>
        <w:tc>
          <w:tcPr>
            <w:tcW w:w="789" w:type="dxa"/>
            <w:tcBorders>
              <w:top w:val="single" w:sz="12" w:space="0" w:color="A5A5A5" w:themeColor="accent3"/>
            </w:tcBorders>
          </w:tcPr>
          <w:p w14:paraId="361E7F6B" w14:textId="77777777" w:rsidR="005A1243" w:rsidRPr="00BD4DAB" w:rsidRDefault="005A1243" w:rsidP="009F4698">
            <w:pPr>
              <w:pStyle w:val="NoSpacing"/>
              <w:jc w:val="center"/>
              <w:rPr>
                <w:sz w:val="12"/>
                <w:szCs w:val="12"/>
              </w:rPr>
            </w:pPr>
            <w:r w:rsidRPr="00BD4DAB">
              <w:rPr>
                <w:sz w:val="12"/>
                <w:szCs w:val="12"/>
              </w:rPr>
              <w:t>AMSTEOE</w:t>
            </w:r>
          </w:p>
        </w:tc>
        <w:tc>
          <w:tcPr>
            <w:tcW w:w="884" w:type="dxa"/>
            <w:tcBorders>
              <w:top w:val="single" w:sz="12" w:space="0" w:color="A5A5A5" w:themeColor="accent3"/>
            </w:tcBorders>
          </w:tcPr>
          <w:p w14:paraId="4B0B01BD" w14:textId="77777777" w:rsidR="005A1243" w:rsidRPr="00BD4DAB" w:rsidRDefault="005A1243" w:rsidP="009F4698">
            <w:pPr>
              <w:pStyle w:val="NoSpacing"/>
              <w:jc w:val="center"/>
              <w:rPr>
                <w:sz w:val="12"/>
                <w:szCs w:val="12"/>
              </w:rPr>
            </w:pPr>
            <w:r w:rsidRPr="00BD4DAB">
              <w:rPr>
                <w:sz w:val="12"/>
                <w:szCs w:val="12"/>
              </w:rPr>
              <w:t>Netherlands</w:t>
            </w:r>
          </w:p>
        </w:tc>
        <w:tc>
          <w:tcPr>
            <w:tcW w:w="808" w:type="dxa"/>
            <w:tcBorders>
              <w:top w:val="single" w:sz="12" w:space="0" w:color="A5A5A5" w:themeColor="accent3"/>
            </w:tcBorders>
          </w:tcPr>
          <w:p w14:paraId="004E8FA6" w14:textId="77777777" w:rsidR="005A1243" w:rsidRPr="00BD4DAB" w:rsidRDefault="005A1243" w:rsidP="009F4698">
            <w:pPr>
              <w:pStyle w:val="NoSpacing"/>
              <w:jc w:val="center"/>
              <w:rPr>
                <w:sz w:val="12"/>
                <w:szCs w:val="12"/>
              </w:rPr>
            </w:pPr>
            <w:r w:rsidRPr="00BD4DAB">
              <w:rPr>
                <w:sz w:val="12"/>
                <w:szCs w:val="12"/>
              </w:rPr>
              <w:t>1/01/1983</w:t>
            </w:r>
          </w:p>
          <w:p w14:paraId="60E97A91" w14:textId="77777777" w:rsidR="005A1243" w:rsidRPr="00BD4DAB" w:rsidRDefault="005A1243" w:rsidP="009F4698">
            <w:pPr>
              <w:pStyle w:val="NoSpacing"/>
              <w:jc w:val="center"/>
              <w:rPr>
                <w:sz w:val="12"/>
                <w:szCs w:val="12"/>
              </w:rPr>
            </w:pPr>
            <w:r w:rsidRPr="00BD4DAB">
              <w:rPr>
                <w:sz w:val="12"/>
                <w:szCs w:val="12"/>
              </w:rPr>
              <w:t>(3/01/1983)</w:t>
            </w:r>
          </w:p>
        </w:tc>
        <w:tc>
          <w:tcPr>
            <w:tcW w:w="869" w:type="dxa"/>
            <w:tcBorders>
              <w:top w:val="single" w:sz="12" w:space="0" w:color="A5A5A5" w:themeColor="accent3"/>
            </w:tcBorders>
          </w:tcPr>
          <w:p w14:paraId="780FED68" w14:textId="77777777" w:rsidR="005A1243" w:rsidRPr="00BD4DAB" w:rsidRDefault="005A1243" w:rsidP="009F4698">
            <w:pPr>
              <w:pStyle w:val="NoSpacing"/>
              <w:jc w:val="center"/>
              <w:rPr>
                <w:sz w:val="12"/>
                <w:szCs w:val="12"/>
              </w:rPr>
            </w:pPr>
            <w:r w:rsidRPr="00BD4DAB">
              <w:rPr>
                <w:sz w:val="12"/>
                <w:szCs w:val="12"/>
              </w:rPr>
              <w:t>31/12/2022</w:t>
            </w:r>
          </w:p>
          <w:p w14:paraId="1613AA1E" w14:textId="77777777" w:rsidR="005A1243" w:rsidRPr="00BD4DAB" w:rsidRDefault="005A1243" w:rsidP="009F4698">
            <w:pPr>
              <w:pStyle w:val="NoSpacing"/>
              <w:jc w:val="center"/>
              <w:rPr>
                <w:sz w:val="12"/>
                <w:szCs w:val="12"/>
              </w:rPr>
            </w:pPr>
            <w:r w:rsidRPr="00BD4DAB">
              <w:rPr>
                <w:sz w:val="12"/>
                <w:szCs w:val="12"/>
              </w:rPr>
              <w:t>(30/12/2022)</w:t>
            </w:r>
          </w:p>
        </w:tc>
        <w:tc>
          <w:tcPr>
            <w:tcW w:w="460" w:type="dxa"/>
            <w:tcBorders>
              <w:top w:val="single" w:sz="12" w:space="0" w:color="A5A5A5" w:themeColor="accent3"/>
            </w:tcBorders>
          </w:tcPr>
          <w:p w14:paraId="0B71F3C7" w14:textId="77777777" w:rsidR="005A1243" w:rsidRPr="00BD4DAB" w:rsidRDefault="005A1243" w:rsidP="009F4698">
            <w:pPr>
              <w:pStyle w:val="NoSpacing"/>
              <w:jc w:val="center"/>
              <w:rPr>
                <w:sz w:val="12"/>
                <w:szCs w:val="12"/>
              </w:rPr>
            </w:pPr>
            <w:r w:rsidRPr="00BD4DAB">
              <w:rPr>
                <w:sz w:val="12"/>
                <w:szCs w:val="12"/>
              </w:rPr>
              <w:t>0402</w:t>
            </w:r>
          </w:p>
        </w:tc>
        <w:tc>
          <w:tcPr>
            <w:tcW w:w="460" w:type="dxa"/>
            <w:tcBorders>
              <w:top w:val="single" w:sz="12" w:space="0" w:color="A5A5A5" w:themeColor="accent3"/>
            </w:tcBorders>
          </w:tcPr>
          <w:p w14:paraId="2DA1D995" w14:textId="77777777" w:rsidR="005A1243" w:rsidRPr="00BD4DAB" w:rsidRDefault="005A1243" w:rsidP="009F4698">
            <w:pPr>
              <w:pStyle w:val="NoSpacing"/>
              <w:jc w:val="center"/>
              <w:rPr>
                <w:sz w:val="12"/>
                <w:szCs w:val="12"/>
              </w:rPr>
            </w:pPr>
            <w:r w:rsidRPr="00BD4DAB">
              <w:rPr>
                <w:sz w:val="12"/>
                <w:szCs w:val="12"/>
              </w:rPr>
              <w:t>1023</w:t>
            </w:r>
          </w:p>
        </w:tc>
        <w:tc>
          <w:tcPr>
            <w:tcW w:w="640" w:type="dxa"/>
            <w:tcBorders>
              <w:top w:val="single" w:sz="12" w:space="0" w:color="A5A5A5" w:themeColor="accent3"/>
            </w:tcBorders>
          </w:tcPr>
          <w:p w14:paraId="3524FD20" w14:textId="625BEBEB" w:rsidR="005A1243" w:rsidRPr="00BD4DAB" w:rsidRDefault="005A1243" w:rsidP="009F4698">
            <w:pPr>
              <w:pStyle w:val="NoSpacing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25</w:t>
            </w:r>
          </w:p>
        </w:tc>
        <w:tc>
          <w:tcPr>
            <w:tcW w:w="496" w:type="dxa"/>
            <w:tcBorders>
              <w:top w:val="single" w:sz="12" w:space="0" w:color="A5A5A5" w:themeColor="accent3"/>
            </w:tcBorders>
          </w:tcPr>
          <w:p w14:paraId="670F7FDA" w14:textId="161F346C" w:rsidR="005A1243" w:rsidRPr="00BD4DAB" w:rsidRDefault="005A1243" w:rsidP="009F4698">
            <w:pPr>
              <w:pStyle w:val="NoSpacing"/>
              <w:jc w:val="center"/>
              <w:rPr>
                <w:sz w:val="12"/>
                <w:szCs w:val="12"/>
              </w:rPr>
            </w:pPr>
            <w:r w:rsidRPr="00BD4DAB">
              <w:rPr>
                <w:sz w:val="12"/>
                <w:szCs w:val="12"/>
              </w:rPr>
              <w:t>April 2002</w:t>
            </w:r>
          </w:p>
        </w:tc>
        <w:tc>
          <w:tcPr>
            <w:tcW w:w="807" w:type="dxa"/>
            <w:tcBorders>
              <w:top w:val="single" w:sz="12" w:space="0" w:color="A5A5A5" w:themeColor="accent3"/>
            </w:tcBorders>
          </w:tcPr>
          <w:p w14:paraId="58A8B61F" w14:textId="0B9B50F7" w:rsidR="005A1243" w:rsidRPr="00BD4DAB" w:rsidRDefault="005A1243" w:rsidP="009F4698">
            <w:pPr>
              <w:pStyle w:val="NoSpacing"/>
              <w:jc w:val="center"/>
              <w:rPr>
                <w:sz w:val="12"/>
                <w:szCs w:val="12"/>
              </w:rPr>
            </w:pPr>
            <w:r w:rsidRPr="00BD4DAB">
              <w:rPr>
                <w:sz w:val="12"/>
                <w:szCs w:val="12"/>
              </w:rPr>
              <w:t>Dec 202</w:t>
            </w:r>
            <w:r w:rsidR="00666326">
              <w:rPr>
                <w:sz w:val="12"/>
                <w:szCs w:val="12"/>
              </w:rPr>
              <w:t>2</w:t>
            </w:r>
          </w:p>
        </w:tc>
      </w:tr>
      <w:tr w:rsidR="0091180C" w:rsidRPr="00BD4DAB" w14:paraId="55334C38" w14:textId="77777777" w:rsidTr="00E63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tcW w:w="1009" w:type="dxa"/>
          </w:tcPr>
          <w:p w14:paraId="7DBBE462" w14:textId="77777777" w:rsidR="005A1243" w:rsidRPr="009F4698" w:rsidRDefault="005A1243" w:rsidP="009F4698">
            <w:pPr>
              <w:pStyle w:val="NoSpacing"/>
              <w:rPr>
                <w:b/>
                <w:bCs/>
                <w:i/>
                <w:iCs/>
                <w:sz w:val="12"/>
                <w:szCs w:val="12"/>
              </w:rPr>
            </w:pPr>
            <w:r w:rsidRPr="009F4698">
              <w:rPr>
                <w:b/>
                <w:bCs/>
                <w:i/>
                <w:iCs/>
                <w:sz w:val="12"/>
                <w:szCs w:val="12"/>
              </w:rPr>
              <w:t>BEL 20 Index</w:t>
            </w:r>
          </w:p>
        </w:tc>
        <w:tc>
          <w:tcPr>
            <w:tcW w:w="862" w:type="dxa"/>
          </w:tcPr>
          <w:p w14:paraId="2C3571E6" w14:textId="77777777" w:rsidR="005A1243" w:rsidRPr="00BD4DAB" w:rsidRDefault="005A1243" w:rsidP="009F4698">
            <w:pPr>
              <w:pStyle w:val="NoSpacing"/>
              <w:jc w:val="center"/>
              <w:rPr>
                <w:sz w:val="12"/>
                <w:szCs w:val="12"/>
              </w:rPr>
            </w:pPr>
            <w:r w:rsidRPr="00BD4DAB">
              <w:rPr>
                <w:sz w:val="12"/>
                <w:szCs w:val="12"/>
              </w:rPr>
              <w:t>BEL20</w:t>
            </w:r>
          </w:p>
        </w:tc>
        <w:tc>
          <w:tcPr>
            <w:tcW w:w="992" w:type="dxa"/>
          </w:tcPr>
          <w:p w14:paraId="195F466B" w14:textId="77777777" w:rsidR="005A1243" w:rsidRPr="00BD4DAB" w:rsidRDefault="005A1243" w:rsidP="009F4698">
            <w:pPr>
              <w:pStyle w:val="NoSpacing"/>
              <w:jc w:val="center"/>
              <w:rPr>
                <w:sz w:val="12"/>
                <w:szCs w:val="12"/>
              </w:rPr>
            </w:pPr>
            <w:r w:rsidRPr="00741DF3">
              <w:rPr>
                <w:sz w:val="12"/>
                <w:szCs w:val="12"/>
              </w:rPr>
              <w:t>BE0389555039</w:t>
            </w:r>
          </w:p>
        </w:tc>
        <w:tc>
          <w:tcPr>
            <w:tcW w:w="789" w:type="dxa"/>
          </w:tcPr>
          <w:p w14:paraId="771D43BF" w14:textId="77777777" w:rsidR="005A1243" w:rsidRPr="00BD4DAB" w:rsidRDefault="005A1243" w:rsidP="009F4698">
            <w:pPr>
              <w:pStyle w:val="NoSpacing"/>
              <w:jc w:val="center"/>
              <w:rPr>
                <w:sz w:val="12"/>
                <w:szCs w:val="12"/>
              </w:rPr>
            </w:pPr>
            <w:r w:rsidRPr="00BD4DAB">
              <w:rPr>
                <w:sz w:val="12"/>
                <w:szCs w:val="12"/>
              </w:rPr>
              <w:t>BGBEL20</w:t>
            </w:r>
          </w:p>
        </w:tc>
        <w:tc>
          <w:tcPr>
            <w:tcW w:w="884" w:type="dxa"/>
          </w:tcPr>
          <w:p w14:paraId="38BCDE2A" w14:textId="77777777" w:rsidR="005A1243" w:rsidRPr="00BD4DAB" w:rsidRDefault="005A1243" w:rsidP="009F4698">
            <w:pPr>
              <w:pStyle w:val="NoSpacing"/>
              <w:jc w:val="center"/>
              <w:rPr>
                <w:sz w:val="12"/>
                <w:szCs w:val="12"/>
              </w:rPr>
            </w:pPr>
            <w:r w:rsidRPr="00BD4DAB">
              <w:rPr>
                <w:sz w:val="12"/>
                <w:szCs w:val="12"/>
              </w:rPr>
              <w:t>Belgium</w:t>
            </w:r>
          </w:p>
        </w:tc>
        <w:tc>
          <w:tcPr>
            <w:tcW w:w="808" w:type="dxa"/>
          </w:tcPr>
          <w:p w14:paraId="40A3BAC3" w14:textId="0C41D325" w:rsidR="005A1243" w:rsidRPr="00BD4DAB" w:rsidRDefault="00FA27F2" w:rsidP="009F4698">
            <w:pPr>
              <w:pStyle w:val="NoSpacing"/>
              <w:jc w:val="center"/>
              <w:rPr>
                <w:sz w:val="12"/>
                <w:szCs w:val="12"/>
              </w:rPr>
            </w:pPr>
            <w:r w:rsidRPr="00FA27F2">
              <w:rPr>
                <w:sz w:val="12"/>
                <w:szCs w:val="12"/>
              </w:rPr>
              <w:t>2/01/1991</w:t>
            </w:r>
          </w:p>
        </w:tc>
        <w:tc>
          <w:tcPr>
            <w:tcW w:w="869" w:type="dxa"/>
          </w:tcPr>
          <w:p w14:paraId="115F13B4" w14:textId="77777777" w:rsidR="00FA27F2" w:rsidRPr="00BD4DAB" w:rsidRDefault="00FA27F2" w:rsidP="00FA27F2">
            <w:pPr>
              <w:pStyle w:val="NoSpacing"/>
              <w:jc w:val="center"/>
              <w:rPr>
                <w:sz w:val="12"/>
                <w:szCs w:val="12"/>
              </w:rPr>
            </w:pPr>
            <w:r w:rsidRPr="00BD4DAB">
              <w:rPr>
                <w:sz w:val="12"/>
                <w:szCs w:val="12"/>
              </w:rPr>
              <w:t>31/12/2022</w:t>
            </w:r>
          </w:p>
          <w:p w14:paraId="6440ABF2" w14:textId="07839BBD" w:rsidR="005A1243" w:rsidRPr="00BD4DAB" w:rsidRDefault="00FA27F2" w:rsidP="00FA27F2">
            <w:pPr>
              <w:pStyle w:val="NoSpacing"/>
              <w:jc w:val="center"/>
              <w:rPr>
                <w:sz w:val="12"/>
                <w:szCs w:val="12"/>
              </w:rPr>
            </w:pPr>
            <w:r w:rsidRPr="00BD4DAB">
              <w:rPr>
                <w:sz w:val="12"/>
                <w:szCs w:val="12"/>
              </w:rPr>
              <w:t>(30/12/2022)</w:t>
            </w:r>
          </w:p>
        </w:tc>
        <w:tc>
          <w:tcPr>
            <w:tcW w:w="460" w:type="dxa"/>
          </w:tcPr>
          <w:p w14:paraId="20114C57" w14:textId="5979A6E3" w:rsidR="005A1243" w:rsidRPr="00BD4DAB" w:rsidRDefault="00FA27F2" w:rsidP="009F4698">
            <w:pPr>
              <w:pStyle w:val="NoSpacing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0702</w:t>
            </w:r>
          </w:p>
        </w:tc>
        <w:tc>
          <w:tcPr>
            <w:tcW w:w="460" w:type="dxa"/>
          </w:tcPr>
          <w:p w14:paraId="52AA6EE2" w14:textId="521E8133" w:rsidR="005A1243" w:rsidRPr="00BD4DAB" w:rsidRDefault="00FA27F2" w:rsidP="009F4698">
            <w:pPr>
              <w:pStyle w:val="NoSpacing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1023</w:t>
            </w:r>
          </w:p>
        </w:tc>
        <w:tc>
          <w:tcPr>
            <w:tcW w:w="640" w:type="dxa"/>
          </w:tcPr>
          <w:p w14:paraId="6F6CC6AA" w14:textId="0EBD9F9D" w:rsidR="005A1243" w:rsidRPr="00BD4DAB" w:rsidRDefault="005A1243" w:rsidP="009F4698">
            <w:pPr>
              <w:pStyle w:val="NoSpacing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</w:t>
            </w:r>
          </w:p>
        </w:tc>
        <w:tc>
          <w:tcPr>
            <w:tcW w:w="496" w:type="dxa"/>
          </w:tcPr>
          <w:p w14:paraId="3B0E5D8C" w14:textId="3A7EC004" w:rsidR="005A1243" w:rsidRPr="00BD4DAB" w:rsidRDefault="00666326" w:rsidP="009F4698">
            <w:pPr>
              <w:pStyle w:val="NoSpacing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July 2002</w:t>
            </w:r>
          </w:p>
        </w:tc>
        <w:tc>
          <w:tcPr>
            <w:tcW w:w="807" w:type="dxa"/>
          </w:tcPr>
          <w:p w14:paraId="31278C04" w14:textId="534D5990" w:rsidR="005A1243" w:rsidRPr="00BD4DAB" w:rsidRDefault="00666326" w:rsidP="009F4698">
            <w:pPr>
              <w:pStyle w:val="NoSpacing"/>
              <w:jc w:val="center"/>
              <w:rPr>
                <w:sz w:val="12"/>
                <w:szCs w:val="12"/>
              </w:rPr>
            </w:pPr>
            <w:r w:rsidRPr="00BD4DAB">
              <w:rPr>
                <w:sz w:val="12"/>
                <w:szCs w:val="12"/>
              </w:rPr>
              <w:t>Dec 202</w:t>
            </w:r>
            <w:r>
              <w:rPr>
                <w:sz w:val="12"/>
                <w:szCs w:val="12"/>
              </w:rPr>
              <w:t>2</w:t>
            </w:r>
          </w:p>
        </w:tc>
      </w:tr>
      <w:tr w:rsidR="001A284B" w:rsidRPr="00BD4DAB" w14:paraId="0D353B29" w14:textId="77777777" w:rsidTr="00E638AD">
        <w:trPr>
          <w:trHeight w:val="283"/>
        </w:trPr>
        <w:tc>
          <w:tcPr>
            <w:tcW w:w="1009" w:type="dxa"/>
          </w:tcPr>
          <w:p w14:paraId="2BFFE739" w14:textId="77777777" w:rsidR="005A1243" w:rsidRPr="009F4698" w:rsidRDefault="005A1243" w:rsidP="009F4698">
            <w:pPr>
              <w:pStyle w:val="NoSpacing"/>
              <w:rPr>
                <w:b/>
                <w:bCs/>
                <w:i/>
                <w:iCs/>
                <w:sz w:val="12"/>
                <w:szCs w:val="12"/>
              </w:rPr>
            </w:pPr>
            <w:proofErr w:type="spellStart"/>
            <w:r w:rsidRPr="009F4698">
              <w:rPr>
                <w:b/>
                <w:bCs/>
                <w:i/>
                <w:iCs/>
                <w:sz w:val="12"/>
                <w:szCs w:val="12"/>
              </w:rPr>
              <w:t>Cotation</w:t>
            </w:r>
            <w:proofErr w:type="spellEnd"/>
            <w:r w:rsidRPr="009F4698">
              <w:rPr>
                <w:b/>
                <w:bCs/>
                <w:i/>
                <w:iCs/>
                <w:sz w:val="12"/>
                <w:szCs w:val="12"/>
              </w:rPr>
              <w:t xml:space="preserve"> </w:t>
            </w:r>
            <w:proofErr w:type="spellStart"/>
            <w:r w:rsidRPr="009F4698">
              <w:rPr>
                <w:b/>
                <w:bCs/>
                <w:i/>
                <w:iCs/>
                <w:sz w:val="12"/>
                <w:szCs w:val="12"/>
              </w:rPr>
              <w:t>Assistée</w:t>
            </w:r>
            <w:proofErr w:type="spellEnd"/>
            <w:r w:rsidRPr="009F4698">
              <w:rPr>
                <w:b/>
                <w:bCs/>
                <w:i/>
                <w:iCs/>
                <w:sz w:val="12"/>
                <w:szCs w:val="12"/>
              </w:rPr>
              <w:t xml:space="preserve"> </w:t>
            </w:r>
            <w:proofErr w:type="spellStart"/>
            <w:r w:rsidRPr="009F4698">
              <w:rPr>
                <w:b/>
                <w:bCs/>
                <w:i/>
                <w:iCs/>
                <w:sz w:val="12"/>
                <w:szCs w:val="12"/>
              </w:rPr>
              <w:t>en</w:t>
            </w:r>
            <w:proofErr w:type="spellEnd"/>
            <w:r w:rsidRPr="009F4698">
              <w:rPr>
                <w:b/>
                <w:bCs/>
                <w:i/>
                <w:iCs/>
                <w:sz w:val="12"/>
                <w:szCs w:val="12"/>
              </w:rPr>
              <w:t xml:space="preserve"> Continu 40</w:t>
            </w:r>
          </w:p>
        </w:tc>
        <w:tc>
          <w:tcPr>
            <w:tcW w:w="862" w:type="dxa"/>
          </w:tcPr>
          <w:p w14:paraId="1356383F" w14:textId="77777777" w:rsidR="005A1243" w:rsidRPr="00BD4DAB" w:rsidRDefault="005A1243" w:rsidP="009F4698">
            <w:pPr>
              <w:pStyle w:val="NoSpacing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CAC40</w:t>
            </w:r>
          </w:p>
        </w:tc>
        <w:tc>
          <w:tcPr>
            <w:tcW w:w="992" w:type="dxa"/>
          </w:tcPr>
          <w:p w14:paraId="6DB887C0" w14:textId="77777777" w:rsidR="005A1243" w:rsidRPr="00BD4DAB" w:rsidRDefault="005A1243" w:rsidP="009F4698">
            <w:pPr>
              <w:pStyle w:val="NoSpacing"/>
              <w:jc w:val="center"/>
              <w:rPr>
                <w:sz w:val="12"/>
                <w:szCs w:val="12"/>
              </w:rPr>
            </w:pPr>
            <w:r w:rsidRPr="00C37EAB">
              <w:rPr>
                <w:sz w:val="12"/>
                <w:szCs w:val="12"/>
              </w:rPr>
              <w:t>FR0003500008</w:t>
            </w:r>
          </w:p>
        </w:tc>
        <w:tc>
          <w:tcPr>
            <w:tcW w:w="789" w:type="dxa"/>
          </w:tcPr>
          <w:p w14:paraId="5B3CB9CC" w14:textId="77777777" w:rsidR="005A1243" w:rsidRPr="00BD4DAB" w:rsidRDefault="005A1243" w:rsidP="009F4698">
            <w:pPr>
              <w:pStyle w:val="NoSpacing"/>
              <w:jc w:val="center"/>
              <w:rPr>
                <w:sz w:val="12"/>
                <w:szCs w:val="12"/>
              </w:rPr>
            </w:pPr>
            <w:r w:rsidRPr="00BD4DAB">
              <w:rPr>
                <w:sz w:val="12"/>
                <w:szCs w:val="12"/>
              </w:rPr>
              <w:t>FRCAC40</w:t>
            </w:r>
          </w:p>
        </w:tc>
        <w:tc>
          <w:tcPr>
            <w:tcW w:w="884" w:type="dxa"/>
          </w:tcPr>
          <w:p w14:paraId="43B0BA6D" w14:textId="77777777" w:rsidR="005A1243" w:rsidRPr="00BD4DAB" w:rsidRDefault="005A1243" w:rsidP="009F4698">
            <w:pPr>
              <w:pStyle w:val="NoSpacing"/>
              <w:jc w:val="center"/>
              <w:rPr>
                <w:sz w:val="12"/>
                <w:szCs w:val="12"/>
              </w:rPr>
            </w:pPr>
            <w:r w:rsidRPr="00BD4DAB">
              <w:rPr>
                <w:sz w:val="12"/>
                <w:szCs w:val="12"/>
              </w:rPr>
              <w:t>France</w:t>
            </w:r>
          </w:p>
        </w:tc>
        <w:tc>
          <w:tcPr>
            <w:tcW w:w="808" w:type="dxa"/>
          </w:tcPr>
          <w:p w14:paraId="6DECAFFA" w14:textId="438B69FC" w:rsidR="005A1243" w:rsidRPr="00BD4DAB" w:rsidRDefault="00666326" w:rsidP="009F4698">
            <w:pPr>
              <w:pStyle w:val="NoSpacing"/>
              <w:jc w:val="center"/>
              <w:rPr>
                <w:sz w:val="12"/>
                <w:szCs w:val="12"/>
              </w:rPr>
            </w:pPr>
            <w:r w:rsidRPr="00666326">
              <w:rPr>
                <w:sz w:val="12"/>
                <w:szCs w:val="12"/>
              </w:rPr>
              <w:t>31/12/1987</w:t>
            </w:r>
          </w:p>
        </w:tc>
        <w:tc>
          <w:tcPr>
            <w:tcW w:w="869" w:type="dxa"/>
          </w:tcPr>
          <w:p w14:paraId="1B88E48B" w14:textId="77777777" w:rsidR="00666326" w:rsidRPr="00666326" w:rsidRDefault="00666326" w:rsidP="00666326">
            <w:pPr>
              <w:pStyle w:val="NoSpacing"/>
              <w:jc w:val="center"/>
              <w:rPr>
                <w:sz w:val="12"/>
                <w:szCs w:val="12"/>
              </w:rPr>
            </w:pPr>
            <w:r w:rsidRPr="00666326">
              <w:rPr>
                <w:sz w:val="12"/>
                <w:szCs w:val="12"/>
              </w:rPr>
              <w:t>31/12/2022</w:t>
            </w:r>
          </w:p>
          <w:p w14:paraId="2C27F57E" w14:textId="6DB46530" w:rsidR="005A1243" w:rsidRPr="00BD4DAB" w:rsidRDefault="00666326" w:rsidP="00666326">
            <w:pPr>
              <w:pStyle w:val="NoSpacing"/>
              <w:jc w:val="center"/>
              <w:rPr>
                <w:sz w:val="12"/>
                <w:szCs w:val="12"/>
              </w:rPr>
            </w:pPr>
            <w:r w:rsidRPr="00666326">
              <w:rPr>
                <w:sz w:val="12"/>
                <w:szCs w:val="12"/>
              </w:rPr>
              <w:t>(30/12/2022)</w:t>
            </w:r>
          </w:p>
        </w:tc>
        <w:tc>
          <w:tcPr>
            <w:tcW w:w="460" w:type="dxa"/>
          </w:tcPr>
          <w:p w14:paraId="1401BD5D" w14:textId="6C02A408" w:rsidR="005A1243" w:rsidRPr="00BD4DAB" w:rsidRDefault="006C542D" w:rsidP="009F4698">
            <w:pPr>
              <w:pStyle w:val="NoSpacing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0700</w:t>
            </w:r>
          </w:p>
        </w:tc>
        <w:tc>
          <w:tcPr>
            <w:tcW w:w="460" w:type="dxa"/>
          </w:tcPr>
          <w:p w14:paraId="21CA636A" w14:textId="2856628D" w:rsidR="005A1243" w:rsidRPr="00BD4DAB" w:rsidRDefault="006C542D" w:rsidP="009F4698">
            <w:pPr>
              <w:pStyle w:val="NoSpacing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1023</w:t>
            </w:r>
          </w:p>
        </w:tc>
        <w:tc>
          <w:tcPr>
            <w:tcW w:w="640" w:type="dxa"/>
          </w:tcPr>
          <w:p w14:paraId="6C54B00C" w14:textId="0A9D5718" w:rsidR="005A1243" w:rsidRPr="00BD4DAB" w:rsidRDefault="005A1243" w:rsidP="009F4698">
            <w:pPr>
              <w:pStyle w:val="NoSpacing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40</w:t>
            </w:r>
          </w:p>
        </w:tc>
        <w:tc>
          <w:tcPr>
            <w:tcW w:w="496" w:type="dxa"/>
          </w:tcPr>
          <w:p w14:paraId="07F2B4B3" w14:textId="1F2804F5" w:rsidR="005A1243" w:rsidRPr="00BD4DAB" w:rsidRDefault="006C542D" w:rsidP="009F4698">
            <w:pPr>
              <w:pStyle w:val="NoSpacing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July 2000</w:t>
            </w:r>
          </w:p>
        </w:tc>
        <w:tc>
          <w:tcPr>
            <w:tcW w:w="807" w:type="dxa"/>
          </w:tcPr>
          <w:p w14:paraId="050ADFB8" w14:textId="48CF9D93" w:rsidR="005A1243" w:rsidRPr="00BD4DAB" w:rsidRDefault="006C542D" w:rsidP="009F4698">
            <w:pPr>
              <w:pStyle w:val="NoSpacing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Dec 2022</w:t>
            </w:r>
          </w:p>
        </w:tc>
      </w:tr>
      <w:tr w:rsidR="001A284B" w:rsidRPr="00BD4DAB" w14:paraId="6D79BB24" w14:textId="77777777" w:rsidTr="00E63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tcW w:w="1009" w:type="dxa"/>
          </w:tcPr>
          <w:p w14:paraId="4E2B58E7" w14:textId="77777777" w:rsidR="005A1243" w:rsidRPr="009F4698" w:rsidRDefault="005A1243" w:rsidP="009F4698">
            <w:pPr>
              <w:pStyle w:val="NoSpacing"/>
              <w:rPr>
                <w:b/>
                <w:bCs/>
                <w:i/>
                <w:iCs/>
                <w:sz w:val="12"/>
                <w:szCs w:val="12"/>
              </w:rPr>
            </w:pPr>
            <w:r w:rsidRPr="009F4698">
              <w:rPr>
                <w:b/>
                <w:bCs/>
                <w:i/>
                <w:iCs/>
                <w:sz w:val="12"/>
                <w:szCs w:val="12"/>
              </w:rPr>
              <w:t xml:space="preserve">Deutscher </w:t>
            </w:r>
            <w:proofErr w:type="spellStart"/>
            <w:r w:rsidRPr="009F4698">
              <w:rPr>
                <w:b/>
                <w:bCs/>
                <w:i/>
                <w:iCs/>
                <w:sz w:val="12"/>
                <w:szCs w:val="12"/>
              </w:rPr>
              <w:t>Aktienindex</w:t>
            </w:r>
            <w:proofErr w:type="spellEnd"/>
          </w:p>
        </w:tc>
        <w:tc>
          <w:tcPr>
            <w:tcW w:w="862" w:type="dxa"/>
          </w:tcPr>
          <w:p w14:paraId="6FFE7AEB" w14:textId="77777777" w:rsidR="005A1243" w:rsidRPr="00BD4DAB" w:rsidRDefault="005A1243" w:rsidP="009F4698">
            <w:pPr>
              <w:pStyle w:val="NoSpacing"/>
              <w:jc w:val="center"/>
              <w:rPr>
                <w:sz w:val="12"/>
                <w:szCs w:val="12"/>
              </w:rPr>
            </w:pPr>
            <w:r w:rsidRPr="00C37EAB">
              <w:rPr>
                <w:sz w:val="12"/>
                <w:szCs w:val="12"/>
              </w:rPr>
              <w:t>DAX</w:t>
            </w:r>
          </w:p>
        </w:tc>
        <w:tc>
          <w:tcPr>
            <w:tcW w:w="992" w:type="dxa"/>
          </w:tcPr>
          <w:p w14:paraId="10BE83E2" w14:textId="77777777" w:rsidR="005A1243" w:rsidRPr="00BD4DAB" w:rsidRDefault="005A1243" w:rsidP="009F4698">
            <w:pPr>
              <w:pStyle w:val="NoSpacing"/>
              <w:jc w:val="center"/>
              <w:rPr>
                <w:sz w:val="12"/>
                <w:szCs w:val="12"/>
              </w:rPr>
            </w:pPr>
            <w:r w:rsidRPr="006E6630">
              <w:rPr>
                <w:sz w:val="12"/>
                <w:szCs w:val="12"/>
              </w:rPr>
              <w:t>DE0008469008</w:t>
            </w:r>
          </w:p>
        </w:tc>
        <w:tc>
          <w:tcPr>
            <w:tcW w:w="789" w:type="dxa"/>
          </w:tcPr>
          <w:p w14:paraId="77D627FA" w14:textId="77777777" w:rsidR="005A1243" w:rsidRPr="00BD4DAB" w:rsidRDefault="005A1243" w:rsidP="009F4698">
            <w:pPr>
              <w:pStyle w:val="NoSpacing"/>
              <w:jc w:val="center"/>
              <w:rPr>
                <w:sz w:val="12"/>
                <w:szCs w:val="12"/>
              </w:rPr>
            </w:pPr>
            <w:r w:rsidRPr="00BD4DAB">
              <w:rPr>
                <w:sz w:val="12"/>
                <w:szCs w:val="12"/>
              </w:rPr>
              <w:t>DAXINDX</w:t>
            </w:r>
          </w:p>
        </w:tc>
        <w:tc>
          <w:tcPr>
            <w:tcW w:w="884" w:type="dxa"/>
          </w:tcPr>
          <w:p w14:paraId="6DC88878" w14:textId="77777777" w:rsidR="005A1243" w:rsidRPr="00BD4DAB" w:rsidRDefault="005A1243" w:rsidP="009F4698">
            <w:pPr>
              <w:pStyle w:val="NoSpacing"/>
              <w:jc w:val="center"/>
              <w:rPr>
                <w:sz w:val="12"/>
                <w:szCs w:val="12"/>
              </w:rPr>
            </w:pPr>
            <w:r w:rsidRPr="00BD4DAB">
              <w:rPr>
                <w:sz w:val="12"/>
                <w:szCs w:val="12"/>
              </w:rPr>
              <w:t>Germany</w:t>
            </w:r>
          </w:p>
        </w:tc>
        <w:tc>
          <w:tcPr>
            <w:tcW w:w="808" w:type="dxa"/>
          </w:tcPr>
          <w:p w14:paraId="41285E1A" w14:textId="521393CC" w:rsidR="005A1243" w:rsidRPr="00BD4DAB" w:rsidRDefault="006C542D" w:rsidP="009F4698">
            <w:pPr>
              <w:pStyle w:val="NoSpacing"/>
              <w:jc w:val="center"/>
              <w:rPr>
                <w:sz w:val="12"/>
                <w:szCs w:val="12"/>
              </w:rPr>
            </w:pPr>
            <w:r w:rsidRPr="006C542D">
              <w:rPr>
                <w:sz w:val="12"/>
                <w:szCs w:val="12"/>
              </w:rPr>
              <w:t>31/12/1964</w:t>
            </w:r>
          </w:p>
        </w:tc>
        <w:tc>
          <w:tcPr>
            <w:tcW w:w="869" w:type="dxa"/>
          </w:tcPr>
          <w:p w14:paraId="3D3E4DB0" w14:textId="77777777" w:rsidR="0091180C" w:rsidRPr="00666326" w:rsidRDefault="0091180C" w:rsidP="0091180C">
            <w:pPr>
              <w:pStyle w:val="NoSpacing"/>
              <w:jc w:val="center"/>
              <w:rPr>
                <w:sz w:val="12"/>
                <w:szCs w:val="12"/>
              </w:rPr>
            </w:pPr>
            <w:r w:rsidRPr="00666326">
              <w:rPr>
                <w:sz w:val="12"/>
                <w:szCs w:val="12"/>
              </w:rPr>
              <w:t>31/12/2022</w:t>
            </w:r>
          </w:p>
          <w:p w14:paraId="44AEE4AF" w14:textId="1A373135" w:rsidR="005A1243" w:rsidRPr="00BD4DAB" w:rsidRDefault="0091180C" w:rsidP="0091180C">
            <w:pPr>
              <w:pStyle w:val="NoSpacing"/>
              <w:jc w:val="center"/>
              <w:rPr>
                <w:sz w:val="12"/>
                <w:szCs w:val="12"/>
              </w:rPr>
            </w:pPr>
            <w:r w:rsidRPr="00666326">
              <w:rPr>
                <w:sz w:val="12"/>
                <w:szCs w:val="12"/>
              </w:rPr>
              <w:t>(30/12/2022)</w:t>
            </w:r>
          </w:p>
        </w:tc>
        <w:tc>
          <w:tcPr>
            <w:tcW w:w="460" w:type="dxa"/>
          </w:tcPr>
          <w:p w14:paraId="0487F43B" w14:textId="57C3D6BD" w:rsidR="005A1243" w:rsidRPr="00BD4DAB" w:rsidRDefault="006C542D" w:rsidP="009F4698">
            <w:pPr>
              <w:pStyle w:val="NoSpacing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0700</w:t>
            </w:r>
          </w:p>
        </w:tc>
        <w:tc>
          <w:tcPr>
            <w:tcW w:w="460" w:type="dxa"/>
          </w:tcPr>
          <w:p w14:paraId="6EB12910" w14:textId="407BD501" w:rsidR="005A1243" w:rsidRPr="00BD4DAB" w:rsidRDefault="006C542D" w:rsidP="009F4698">
            <w:pPr>
              <w:pStyle w:val="NoSpacing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1023</w:t>
            </w:r>
          </w:p>
        </w:tc>
        <w:tc>
          <w:tcPr>
            <w:tcW w:w="640" w:type="dxa"/>
          </w:tcPr>
          <w:p w14:paraId="1D813C68" w14:textId="350747FB" w:rsidR="005A1243" w:rsidRPr="00BD4DAB" w:rsidRDefault="009F4698" w:rsidP="009F4698">
            <w:pPr>
              <w:pStyle w:val="NoSpacing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40</w:t>
            </w:r>
          </w:p>
        </w:tc>
        <w:tc>
          <w:tcPr>
            <w:tcW w:w="496" w:type="dxa"/>
          </w:tcPr>
          <w:p w14:paraId="01F72359" w14:textId="54DB9E7A" w:rsidR="005A1243" w:rsidRPr="00BD4DAB" w:rsidRDefault="006C542D" w:rsidP="009F4698">
            <w:pPr>
              <w:pStyle w:val="NoSpacing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July 2000</w:t>
            </w:r>
          </w:p>
        </w:tc>
        <w:tc>
          <w:tcPr>
            <w:tcW w:w="807" w:type="dxa"/>
          </w:tcPr>
          <w:p w14:paraId="0113BE57" w14:textId="6ADCA2D2" w:rsidR="005A1243" w:rsidRPr="00BD4DAB" w:rsidRDefault="006C542D" w:rsidP="009F4698">
            <w:pPr>
              <w:pStyle w:val="NoSpacing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Dec 2022</w:t>
            </w:r>
          </w:p>
        </w:tc>
      </w:tr>
      <w:tr w:rsidR="00E638AD" w:rsidRPr="00BD4DAB" w14:paraId="32F6319D" w14:textId="77777777" w:rsidTr="00E638AD">
        <w:trPr>
          <w:trHeight w:val="283"/>
        </w:trPr>
        <w:tc>
          <w:tcPr>
            <w:tcW w:w="1009" w:type="dxa"/>
          </w:tcPr>
          <w:p w14:paraId="720D3301" w14:textId="77777777" w:rsidR="00E638AD" w:rsidRPr="009F4698" w:rsidRDefault="00E638AD" w:rsidP="009F4698">
            <w:pPr>
              <w:pStyle w:val="NoSpacing"/>
              <w:rPr>
                <w:b/>
                <w:bCs/>
                <w:i/>
                <w:iCs/>
                <w:sz w:val="12"/>
                <w:szCs w:val="12"/>
              </w:rPr>
            </w:pPr>
            <w:r w:rsidRPr="009F4698">
              <w:rPr>
                <w:b/>
                <w:bCs/>
                <w:i/>
                <w:iCs/>
                <w:sz w:val="12"/>
                <w:szCs w:val="12"/>
              </w:rPr>
              <w:t>Euro Overnight Index Average</w:t>
            </w:r>
          </w:p>
        </w:tc>
        <w:tc>
          <w:tcPr>
            <w:tcW w:w="862" w:type="dxa"/>
          </w:tcPr>
          <w:p w14:paraId="7F6A9FC6" w14:textId="77777777" w:rsidR="00E638AD" w:rsidRPr="00BD4DAB" w:rsidRDefault="00E638AD" w:rsidP="009F4698">
            <w:pPr>
              <w:pStyle w:val="NoSpacing"/>
              <w:jc w:val="center"/>
              <w:rPr>
                <w:sz w:val="12"/>
                <w:szCs w:val="12"/>
              </w:rPr>
            </w:pPr>
            <w:r w:rsidRPr="00BD4DAB">
              <w:rPr>
                <w:sz w:val="12"/>
                <w:szCs w:val="12"/>
              </w:rPr>
              <w:t>EONIA</w:t>
            </w:r>
          </w:p>
        </w:tc>
        <w:tc>
          <w:tcPr>
            <w:tcW w:w="992" w:type="dxa"/>
          </w:tcPr>
          <w:p w14:paraId="38807D38" w14:textId="77777777" w:rsidR="00E638AD" w:rsidRPr="00BD4DAB" w:rsidRDefault="00E638AD" w:rsidP="009F4698">
            <w:pPr>
              <w:pStyle w:val="NoSpacing"/>
              <w:jc w:val="center"/>
              <w:rPr>
                <w:sz w:val="12"/>
                <w:szCs w:val="12"/>
              </w:rPr>
            </w:pPr>
            <w:r w:rsidRPr="00BD4DAB">
              <w:rPr>
                <w:sz w:val="12"/>
                <w:szCs w:val="12"/>
              </w:rPr>
              <w:t>EU0009659945</w:t>
            </w:r>
          </w:p>
        </w:tc>
        <w:tc>
          <w:tcPr>
            <w:tcW w:w="789" w:type="dxa"/>
          </w:tcPr>
          <w:p w14:paraId="3450A4C9" w14:textId="4553D4DE" w:rsidR="00E638AD" w:rsidRPr="00BD4DAB" w:rsidRDefault="00E638AD" w:rsidP="009F4698">
            <w:pPr>
              <w:pStyle w:val="NoSpacing"/>
              <w:jc w:val="center"/>
              <w:rPr>
                <w:sz w:val="12"/>
                <w:szCs w:val="12"/>
              </w:rPr>
            </w:pPr>
            <w:r w:rsidRPr="00304B46">
              <w:rPr>
                <w:sz w:val="12"/>
                <w:szCs w:val="12"/>
              </w:rPr>
              <w:t>EUEONIA</w:t>
            </w:r>
          </w:p>
        </w:tc>
        <w:tc>
          <w:tcPr>
            <w:tcW w:w="884" w:type="dxa"/>
          </w:tcPr>
          <w:p w14:paraId="14CE8BE3" w14:textId="77777777" w:rsidR="00E638AD" w:rsidRPr="00BD4DAB" w:rsidRDefault="00E638AD" w:rsidP="009F4698">
            <w:pPr>
              <w:pStyle w:val="NoSpacing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Eurozone</w:t>
            </w:r>
          </w:p>
        </w:tc>
        <w:tc>
          <w:tcPr>
            <w:tcW w:w="808" w:type="dxa"/>
          </w:tcPr>
          <w:p w14:paraId="52D94746" w14:textId="7CE975AA" w:rsidR="00E638AD" w:rsidRPr="00BD4DAB" w:rsidRDefault="00E638AD" w:rsidP="009F4698">
            <w:pPr>
              <w:pStyle w:val="NoSpacing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1/12/2000</w:t>
            </w:r>
          </w:p>
        </w:tc>
        <w:tc>
          <w:tcPr>
            <w:tcW w:w="869" w:type="dxa"/>
          </w:tcPr>
          <w:p w14:paraId="74903107" w14:textId="7CF2C272" w:rsidR="00E638AD" w:rsidRPr="00BD4DAB" w:rsidRDefault="00E638AD" w:rsidP="0091180C">
            <w:pPr>
              <w:pStyle w:val="NoSpacing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31/10/2019</w:t>
            </w:r>
          </w:p>
        </w:tc>
        <w:tc>
          <w:tcPr>
            <w:tcW w:w="1560" w:type="dxa"/>
            <w:gridSpan w:val="3"/>
            <w:vMerge w:val="restart"/>
          </w:tcPr>
          <w:p w14:paraId="74BCA5F7" w14:textId="77777777" w:rsidR="00E638AD" w:rsidRPr="00BD4DAB" w:rsidRDefault="00E638AD" w:rsidP="009F4698">
            <w:pPr>
              <w:pStyle w:val="NoSpacing"/>
              <w:jc w:val="center"/>
              <w:rPr>
                <w:sz w:val="12"/>
                <w:szCs w:val="12"/>
              </w:rPr>
            </w:pPr>
            <w:r w:rsidRPr="00BD4DAB">
              <w:rPr>
                <w:sz w:val="12"/>
                <w:szCs w:val="12"/>
              </w:rPr>
              <w:t>Not applicable.</w:t>
            </w:r>
          </w:p>
          <w:p w14:paraId="5AB5C942" w14:textId="63366BF3" w:rsidR="00E638AD" w:rsidRPr="00BD4DAB" w:rsidRDefault="00E638AD" w:rsidP="009F4698">
            <w:pPr>
              <w:pStyle w:val="NoSpacing"/>
              <w:jc w:val="center"/>
              <w:rPr>
                <w:sz w:val="12"/>
                <w:szCs w:val="12"/>
              </w:rPr>
            </w:pPr>
          </w:p>
        </w:tc>
        <w:tc>
          <w:tcPr>
            <w:tcW w:w="496" w:type="dxa"/>
            <w:vMerge w:val="restart"/>
          </w:tcPr>
          <w:p w14:paraId="0AF6E297" w14:textId="2675F2ED" w:rsidR="00E638AD" w:rsidRPr="00BD4DAB" w:rsidRDefault="00E638AD" w:rsidP="00E638AD">
            <w:pPr>
              <w:spacing w:after="160" w:line="259" w:lineRule="auto"/>
              <w:rPr>
                <w:sz w:val="12"/>
                <w:szCs w:val="12"/>
              </w:rPr>
            </w:pPr>
            <w:r w:rsidRPr="00E638AD">
              <w:rPr>
                <w:sz w:val="12"/>
                <w:szCs w:val="12"/>
              </w:rPr>
              <w:t>Jan 2002</w:t>
            </w:r>
          </w:p>
        </w:tc>
        <w:tc>
          <w:tcPr>
            <w:tcW w:w="807" w:type="dxa"/>
            <w:vMerge w:val="restart"/>
          </w:tcPr>
          <w:p w14:paraId="3C5F66C4" w14:textId="2329EC24" w:rsidR="00E638AD" w:rsidRPr="00BD4DAB" w:rsidRDefault="00E638AD" w:rsidP="009F4698">
            <w:pPr>
              <w:pStyle w:val="NoSpacing"/>
              <w:jc w:val="center"/>
              <w:rPr>
                <w:sz w:val="12"/>
                <w:szCs w:val="12"/>
              </w:rPr>
            </w:pPr>
            <w:r w:rsidRPr="00E638AD">
              <w:rPr>
                <w:sz w:val="12"/>
                <w:szCs w:val="12"/>
              </w:rPr>
              <w:t>Feb 2024</w:t>
            </w:r>
          </w:p>
        </w:tc>
      </w:tr>
      <w:tr w:rsidR="00E638AD" w:rsidRPr="00BD4DAB" w14:paraId="3CE4EA80" w14:textId="77777777" w:rsidTr="00E63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tcW w:w="1009" w:type="dxa"/>
          </w:tcPr>
          <w:p w14:paraId="29DA27A8" w14:textId="77777777" w:rsidR="00E638AD" w:rsidRPr="009F4698" w:rsidRDefault="00E638AD" w:rsidP="009F4698">
            <w:pPr>
              <w:pStyle w:val="NoSpacing"/>
              <w:rPr>
                <w:b/>
                <w:bCs/>
                <w:i/>
                <w:iCs/>
                <w:sz w:val="12"/>
                <w:szCs w:val="12"/>
              </w:rPr>
            </w:pPr>
            <w:r w:rsidRPr="009F4698">
              <w:rPr>
                <w:b/>
                <w:bCs/>
                <w:i/>
                <w:iCs/>
                <w:sz w:val="12"/>
                <w:szCs w:val="12"/>
              </w:rPr>
              <w:t>Euro short-term rate</w:t>
            </w:r>
          </w:p>
        </w:tc>
        <w:tc>
          <w:tcPr>
            <w:tcW w:w="862" w:type="dxa"/>
          </w:tcPr>
          <w:p w14:paraId="313026C8" w14:textId="77777777" w:rsidR="00E638AD" w:rsidRPr="00BD4DAB" w:rsidRDefault="00E638AD" w:rsidP="009F4698">
            <w:pPr>
              <w:pStyle w:val="NoSpacing"/>
              <w:jc w:val="center"/>
              <w:rPr>
                <w:rFonts w:cstheme="minorHAnsi"/>
                <w:sz w:val="12"/>
                <w:szCs w:val="12"/>
              </w:rPr>
            </w:pPr>
            <w:r w:rsidRPr="00BD4DAB">
              <w:rPr>
                <w:rFonts w:cstheme="minorHAnsi"/>
                <w:sz w:val="12"/>
                <w:szCs w:val="12"/>
              </w:rPr>
              <w:t>€STR</w:t>
            </w:r>
          </w:p>
        </w:tc>
        <w:tc>
          <w:tcPr>
            <w:tcW w:w="992" w:type="dxa"/>
          </w:tcPr>
          <w:p w14:paraId="1F4C9CD3" w14:textId="77777777" w:rsidR="00E638AD" w:rsidRPr="00BD4DAB" w:rsidRDefault="00E638AD" w:rsidP="009F4698">
            <w:pPr>
              <w:pStyle w:val="NoSpacing"/>
              <w:jc w:val="center"/>
              <w:rPr>
                <w:sz w:val="12"/>
                <w:szCs w:val="12"/>
              </w:rPr>
            </w:pPr>
            <w:r w:rsidRPr="00BD4DAB">
              <w:rPr>
                <w:sz w:val="12"/>
                <w:szCs w:val="12"/>
              </w:rPr>
              <w:t>EU000A2X2A25</w:t>
            </w:r>
          </w:p>
        </w:tc>
        <w:tc>
          <w:tcPr>
            <w:tcW w:w="789" w:type="dxa"/>
          </w:tcPr>
          <w:p w14:paraId="59292025" w14:textId="7153BA2C" w:rsidR="00E638AD" w:rsidRPr="00BD4DAB" w:rsidRDefault="00E638AD" w:rsidP="009F4698">
            <w:pPr>
              <w:pStyle w:val="NoSpacing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EURSTR</w:t>
            </w:r>
          </w:p>
        </w:tc>
        <w:tc>
          <w:tcPr>
            <w:tcW w:w="884" w:type="dxa"/>
          </w:tcPr>
          <w:p w14:paraId="19C30EF3" w14:textId="77777777" w:rsidR="00E638AD" w:rsidRPr="00BD4DAB" w:rsidRDefault="00E638AD" w:rsidP="009F4698">
            <w:pPr>
              <w:pStyle w:val="NoSpacing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Eurozone</w:t>
            </w:r>
          </w:p>
        </w:tc>
        <w:tc>
          <w:tcPr>
            <w:tcW w:w="808" w:type="dxa"/>
          </w:tcPr>
          <w:p w14:paraId="6B213C25" w14:textId="1485A771" w:rsidR="00E638AD" w:rsidRPr="00BD4DAB" w:rsidRDefault="00E638AD" w:rsidP="009F4698">
            <w:pPr>
              <w:pStyle w:val="NoSpacing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1/11/2019</w:t>
            </w:r>
          </w:p>
        </w:tc>
        <w:tc>
          <w:tcPr>
            <w:tcW w:w="869" w:type="dxa"/>
          </w:tcPr>
          <w:p w14:paraId="750D364C" w14:textId="357B251A" w:rsidR="00E638AD" w:rsidRPr="00BD4DAB" w:rsidRDefault="00E638AD" w:rsidP="009F4698">
            <w:pPr>
              <w:pStyle w:val="NoSpacing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29/03/2024</w:t>
            </w:r>
          </w:p>
        </w:tc>
        <w:tc>
          <w:tcPr>
            <w:tcW w:w="1560" w:type="dxa"/>
            <w:gridSpan w:val="3"/>
            <w:vMerge/>
          </w:tcPr>
          <w:p w14:paraId="16E90051" w14:textId="5A867ED5" w:rsidR="00E638AD" w:rsidRPr="00BD4DAB" w:rsidRDefault="00E638AD" w:rsidP="009F4698">
            <w:pPr>
              <w:pStyle w:val="NoSpacing"/>
              <w:jc w:val="center"/>
              <w:rPr>
                <w:sz w:val="12"/>
                <w:szCs w:val="12"/>
              </w:rPr>
            </w:pPr>
          </w:p>
        </w:tc>
        <w:tc>
          <w:tcPr>
            <w:tcW w:w="496" w:type="dxa"/>
            <w:vMerge/>
          </w:tcPr>
          <w:p w14:paraId="03BDDCE6" w14:textId="77777777" w:rsidR="00E638AD" w:rsidRPr="00BD4DAB" w:rsidRDefault="00E638AD" w:rsidP="009F4698">
            <w:pPr>
              <w:pStyle w:val="NoSpacing"/>
              <w:jc w:val="center"/>
              <w:rPr>
                <w:sz w:val="12"/>
                <w:szCs w:val="12"/>
              </w:rPr>
            </w:pPr>
          </w:p>
        </w:tc>
        <w:tc>
          <w:tcPr>
            <w:tcW w:w="807" w:type="dxa"/>
            <w:vMerge/>
          </w:tcPr>
          <w:p w14:paraId="25D0233F" w14:textId="77777777" w:rsidR="00E638AD" w:rsidRPr="00BD4DAB" w:rsidRDefault="00E638AD" w:rsidP="009F4698">
            <w:pPr>
              <w:pStyle w:val="NoSpacing"/>
              <w:jc w:val="center"/>
              <w:rPr>
                <w:sz w:val="12"/>
                <w:szCs w:val="12"/>
              </w:rPr>
            </w:pPr>
          </w:p>
        </w:tc>
      </w:tr>
      <w:tr w:rsidR="0091180C" w:rsidRPr="00BD4DAB" w14:paraId="7A51B7E3" w14:textId="77777777" w:rsidTr="00E638AD">
        <w:trPr>
          <w:trHeight w:val="283"/>
        </w:trPr>
        <w:tc>
          <w:tcPr>
            <w:tcW w:w="1009" w:type="dxa"/>
          </w:tcPr>
          <w:p w14:paraId="1844AB2F" w14:textId="77777777" w:rsidR="005A1243" w:rsidRPr="009F4698" w:rsidRDefault="005A1243" w:rsidP="009F4698">
            <w:pPr>
              <w:pStyle w:val="NoSpacing"/>
              <w:rPr>
                <w:b/>
                <w:bCs/>
                <w:i/>
                <w:iCs/>
                <w:sz w:val="12"/>
                <w:szCs w:val="12"/>
              </w:rPr>
            </w:pPr>
            <w:r w:rsidRPr="009F4698">
              <w:rPr>
                <w:b/>
                <w:bCs/>
                <w:i/>
                <w:iCs/>
                <w:sz w:val="12"/>
                <w:szCs w:val="12"/>
              </w:rPr>
              <w:t>OMX Stockholm 30 Index</w:t>
            </w:r>
          </w:p>
        </w:tc>
        <w:tc>
          <w:tcPr>
            <w:tcW w:w="862" w:type="dxa"/>
          </w:tcPr>
          <w:p w14:paraId="1D67E80B" w14:textId="77777777" w:rsidR="005A1243" w:rsidRPr="00BD4DAB" w:rsidRDefault="005A1243" w:rsidP="009F4698">
            <w:pPr>
              <w:pStyle w:val="NoSpacing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OMX30</w:t>
            </w:r>
          </w:p>
        </w:tc>
        <w:tc>
          <w:tcPr>
            <w:tcW w:w="992" w:type="dxa"/>
          </w:tcPr>
          <w:p w14:paraId="363DA9CA" w14:textId="77777777" w:rsidR="005A1243" w:rsidRPr="00BD4DAB" w:rsidRDefault="005A1243" w:rsidP="009F4698">
            <w:pPr>
              <w:pStyle w:val="NoSpacing"/>
              <w:jc w:val="center"/>
              <w:rPr>
                <w:sz w:val="12"/>
                <w:szCs w:val="12"/>
              </w:rPr>
            </w:pPr>
            <w:r w:rsidRPr="00B74F9B">
              <w:rPr>
                <w:sz w:val="12"/>
                <w:szCs w:val="12"/>
              </w:rPr>
              <w:t>SE0000337842</w:t>
            </w:r>
          </w:p>
        </w:tc>
        <w:tc>
          <w:tcPr>
            <w:tcW w:w="789" w:type="dxa"/>
          </w:tcPr>
          <w:p w14:paraId="76A78245" w14:textId="77777777" w:rsidR="005A1243" w:rsidRPr="00BD4DAB" w:rsidRDefault="005A1243" w:rsidP="009F4698">
            <w:pPr>
              <w:pStyle w:val="NoSpacing"/>
              <w:jc w:val="center"/>
              <w:rPr>
                <w:sz w:val="12"/>
                <w:szCs w:val="12"/>
              </w:rPr>
            </w:pPr>
            <w:r w:rsidRPr="00BD4DAB">
              <w:rPr>
                <w:sz w:val="12"/>
                <w:szCs w:val="12"/>
              </w:rPr>
              <w:t>SWEDOMX</w:t>
            </w:r>
          </w:p>
        </w:tc>
        <w:tc>
          <w:tcPr>
            <w:tcW w:w="884" w:type="dxa"/>
          </w:tcPr>
          <w:p w14:paraId="133D93BF" w14:textId="77777777" w:rsidR="005A1243" w:rsidRPr="00BD4DAB" w:rsidRDefault="005A1243" w:rsidP="009F4698">
            <w:pPr>
              <w:pStyle w:val="NoSpacing"/>
              <w:jc w:val="center"/>
              <w:rPr>
                <w:sz w:val="12"/>
                <w:szCs w:val="12"/>
              </w:rPr>
            </w:pPr>
            <w:r w:rsidRPr="00BD4DAB">
              <w:rPr>
                <w:sz w:val="12"/>
                <w:szCs w:val="12"/>
              </w:rPr>
              <w:t>Sweden</w:t>
            </w:r>
          </w:p>
        </w:tc>
        <w:tc>
          <w:tcPr>
            <w:tcW w:w="808" w:type="dxa"/>
          </w:tcPr>
          <w:p w14:paraId="3C59B179" w14:textId="5F8CB8A0" w:rsidR="005A1243" w:rsidRPr="00BD4DAB" w:rsidRDefault="001A284B" w:rsidP="009F4698">
            <w:pPr>
              <w:pStyle w:val="NoSpacing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2/01/2002</w:t>
            </w:r>
          </w:p>
        </w:tc>
        <w:tc>
          <w:tcPr>
            <w:tcW w:w="869" w:type="dxa"/>
          </w:tcPr>
          <w:p w14:paraId="74828842" w14:textId="77777777" w:rsidR="00304B46" w:rsidRPr="0091180C" w:rsidRDefault="00304B46" w:rsidP="00304B46">
            <w:pPr>
              <w:pStyle w:val="NoSpacing"/>
              <w:jc w:val="center"/>
              <w:rPr>
                <w:sz w:val="12"/>
                <w:szCs w:val="12"/>
              </w:rPr>
            </w:pPr>
            <w:r w:rsidRPr="0091180C">
              <w:rPr>
                <w:sz w:val="12"/>
                <w:szCs w:val="12"/>
              </w:rPr>
              <w:t>31/12/2022</w:t>
            </w:r>
          </w:p>
          <w:p w14:paraId="57FA3371" w14:textId="4EB250E6" w:rsidR="005A1243" w:rsidRPr="00BD4DAB" w:rsidRDefault="00304B46" w:rsidP="00304B46">
            <w:pPr>
              <w:pStyle w:val="NoSpacing"/>
              <w:jc w:val="center"/>
              <w:rPr>
                <w:sz w:val="12"/>
                <w:szCs w:val="12"/>
              </w:rPr>
            </w:pPr>
            <w:r w:rsidRPr="0091180C">
              <w:rPr>
                <w:sz w:val="12"/>
                <w:szCs w:val="12"/>
              </w:rPr>
              <w:t>(30/12/2022)</w:t>
            </w:r>
          </w:p>
        </w:tc>
        <w:tc>
          <w:tcPr>
            <w:tcW w:w="460" w:type="dxa"/>
          </w:tcPr>
          <w:p w14:paraId="349450A4" w14:textId="4C6B0485" w:rsidR="005A1243" w:rsidRPr="00BD4DAB" w:rsidRDefault="001A284B" w:rsidP="009F4698">
            <w:pPr>
              <w:pStyle w:val="NoSpacing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0704</w:t>
            </w:r>
          </w:p>
        </w:tc>
        <w:tc>
          <w:tcPr>
            <w:tcW w:w="460" w:type="dxa"/>
          </w:tcPr>
          <w:p w14:paraId="38E66E35" w14:textId="1BF804CF" w:rsidR="005A1243" w:rsidRPr="00BD4DAB" w:rsidRDefault="001A284B" w:rsidP="009F4698">
            <w:pPr>
              <w:pStyle w:val="NoSpacing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1023</w:t>
            </w:r>
          </w:p>
        </w:tc>
        <w:tc>
          <w:tcPr>
            <w:tcW w:w="640" w:type="dxa"/>
          </w:tcPr>
          <w:p w14:paraId="7B1EBDCB" w14:textId="4E041B41" w:rsidR="005A1243" w:rsidRPr="00BD4DAB" w:rsidRDefault="009F4698" w:rsidP="009F4698">
            <w:pPr>
              <w:pStyle w:val="NoSpacing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30</w:t>
            </w:r>
          </w:p>
        </w:tc>
        <w:tc>
          <w:tcPr>
            <w:tcW w:w="496" w:type="dxa"/>
          </w:tcPr>
          <w:p w14:paraId="65640D14" w14:textId="4CF91389" w:rsidR="005A1243" w:rsidRPr="00BD4DAB" w:rsidRDefault="001A284B" w:rsidP="009F4698">
            <w:pPr>
              <w:pStyle w:val="NoSpacing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July 2004</w:t>
            </w:r>
          </w:p>
        </w:tc>
        <w:tc>
          <w:tcPr>
            <w:tcW w:w="807" w:type="dxa"/>
          </w:tcPr>
          <w:p w14:paraId="4A56ADAE" w14:textId="1B1C424E" w:rsidR="005A1243" w:rsidRPr="00BD4DAB" w:rsidRDefault="001A284B" w:rsidP="009F4698">
            <w:pPr>
              <w:pStyle w:val="NoSpacing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Dec 2022</w:t>
            </w:r>
          </w:p>
        </w:tc>
      </w:tr>
      <w:tr w:rsidR="001A284B" w:rsidRPr="00BD4DAB" w14:paraId="315543F6" w14:textId="77777777" w:rsidTr="00E63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tcW w:w="1009" w:type="dxa"/>
          </w:tcPr>
          <w:p w14:paraId="2C086AD7" w14:textId="77777777" w:rsidR="005A1243" w:rsidRPr="009F4698" w:rsidRDefault="005A1243" w:rsidP="009F4698">
            <w:pPr>
              <w:pStyle w:val="NoSpacing"/>
              <w:rPr>
                <w:b/>
                <w:bCs/>
                <w:i/>
                <w:iCs/>
                <w:sz w:val="12"/>
                <w:szCs w:val="12"/>
              </w:rPr>
            </w:pPr>
            <w:r w:rsidRPr="009F4698">
              <w:rPr>
                <w:b/>
                <w:bCs/>
                <w:i/>
                <w:iCs/>
                <w:sz w:val="12"/>
                <w:szCs w:val="12"/>
              </w:rPr>
              <w:t>STOXX Europe 50</w:t>
            </w:r>
          </w:p>
        </w:tc>
        <w:tc>
          <w:tcPr>
            <w:tcW w:w="862" w:type="dxa"/>
          </w:tcPr>
          <w:p w14:paraId="59F778D2" w14:textId="77777777" w:rsidR="005A1243" w:rsidRPr="00BD4DAB" w:rsidRDefault="005A1243" w:rsidP="009F4698">
            <w:pPr>
              <w:pStyle w:val="NoSpacing"/>
              <w:jc w:val="center"/>
              <w:rPr>
                <w:sz w:val="12"/>
                <w:szCs w:val="12"/>
              </w:rPr>
            </w:pPr>
            <w:r w:rsidRPr="00182871">
              <w:rPr>
                <w:sz w:val="12"/>
                <w:szCs w:val="12"/>
              </w:rPr>
              <w:t>SX5P</w:t>
            </w:r>
          </w:p>
        </w:tc>
        <w:tc>
          <w:tcPr>
            <w:tcW w:w="992" w:type="dxa"/>
          </w:tcPr>
          <w:p w14:paraId="05E2EB68" w14:textId="77777777" w:rsidR="005A1243" w:rsidRPr="00BD4DAB" w:rsidRDefault="005A1243" w:rsidP="009F4698">
            <w:pPr>
              <w:pStyle w:val="NoSpacing"/>
              <w:jc w:val="center"/>
              <w:rPr>
                <w:sz w:val="12"/>
                <w:szCs w:val="12"/>
              </w:rPr>
            </w:pPr>
            <w:r w:rsidRPr="00182871">
              <w:rPr>
                <w:sz w:val="12"/>
                <w:szCs w:val="12"/>
              </w:rPr>
              <w:t>EU0009658160</w:t>
            </w:r>
          </w:p>
        </w:tc>
        <w:tc>
          <w:tcPr>
            <w:tcW w:w="789" w:type="dxa"/>
          </w:tcPr>
          <w:p w14:paraId="6D6DA376" w14:textId="77777777" w:rsidR="005A1243" w:rsidRPr="00BD4DAB" w:rsidRDefault="005A1243" w:rsidP="009F4698">
            <w:pPr>
              <w:pStyle w:val="NoSpacing"/>
              <w:jc w:val="center"/>
              <w:rPr>
                <w:sz w:val="12"/>
                <w:szCs w:val="12"/>
              </w:rPr>
            </w:pPr>
            <w:r w:rsidRPr="00BD4DAB">
              <w:rPr>
                <w:sz w:val="12"/>
                <w:szCs w:val="12"/>
              </w:rPr>
              <w:t>DJE5501</w:t>
            </w:r>
          </w:p>
        </w:tc>
        <w:tc>
          <w:tcPr>
            <w:tcW w:w="884" w:type="dxa"/>
          </w:tcPr>
          <w:p w14:paraId="2224C5ED" w14:textId="77777777" w:rsidR="005A1243" w:rsidRPr="00BD4DAB" w:rsidRDefault="005A1243" w:rsidP="009F4698">
            <w:pPr>
              <w:pStyle w:val="NoSpacing"/>
              <w:jc w:val="center"/>
              <w:rPr>
                <w:sz w:val="12"/>
                <w:szCs w:val="12"/>
              </w:rPr>
            </w:pPr>
            <w:r w:rsidRPr="00BD4DAB">
              <w:rPr>
                <w:sz w:val="12"/>
                <w:szCs w:val="12"/>
              </w:rPr>
              <w:t>Europe</w:t>
            </w:r>
          </w:p>
        </w:tc>
        <w:tc>
          <w:tcPr>
            <w:tcW w:w="808" w:type="dxa"/>
          </w:tcPr>
          <w:p w14:paraId="77C9E9D7" w14:textId="7D173BA6" w:rsidR="005A1243" w:rsidRPr="00BD4DAB" w:rsidRDefault="005A1243" w:rsidP="009F4698">
            <w:pPr>
              <w:pStyle w:val="NoSpacing"/>
              <w:jc w:val="center"/>
              <w:rPr>
                <w:sz w:val="12"/>
                <w:szCs w:val="12"/>
              </w:rPr>
            </w:pPr>
          </w:p>
        </w:tc>
        <w:tc>
          <w:tcPr>
            <w:tcW w:w="869" w:type="dxa"/>
          </w:tcPr>
          <w:p w14:paraId="181CC7A8" w14:textId="77777777" w:rsidR="005A1243" w:rsidRPr="00BD4DAB" w:rsidRDefault="005A1243" w:rsidP="009F4698">
            <w:pPr>
              <w:pStyle w:val="NoSpacing"/>
              <w:jc w:val="center"/>
              <w:rPr>
                <w:sz w:val="12"/>
                <w:szCs w:val="12"/>
              </w:rPr>
            </w:pPr>
          </w:p>
        </w:tc>
        <w:tc>
          <w:tcPr>
            <w:tcW w:w="1560" w:type="dxa"/>
            <w:gridSpan w:val="3"/>
          </w:tcPr>
          <w:p w14:paraId="232436E6" w14:textId="77777777" w:rsidR="005A1243" w:rsidRPr="00BD4DAB" w:rsidRDefault="005A1243" w:rsidP="009F4698">
            <w:pPr>
              <w:pStyle w:val="NoSpacing"/>
              <w:jc w:val="center"/>
              <w:rPr>
                <w:sz w:val="12"/>
                <w:szCs w:val="12"/>
              </w:rPr>
            </w:pPr>
            <w:r w:rsidRPr="00BD4DAB">
              <w:rPr>
                <w:sz w:val="12"/>
                <w:szCs w:val="12"/>
              </w:rPr>
              <w:t>Not applicable.</w:t>
            </w:r>
          </w:p>
        </w:tc>
        <w:tc>
          <w:tcPr>
            <w:tcW w:w="496" w:type="dxa"/>
          </w:tcPr>
          <w:p w14:paraId="3F5AD83E" w14:textId="4157F6D4" w:rsidR="005A1243" w:rsidRPr="00BD4DAB" w:rsidRDefault="003D23D0" w:rsidP="009F4698">
            <w:pPr>
              <w:pStyle w:val="NoSpacing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Jan 2002</w:t>
            </w:r>
          </w:p>
        </w:tc>
        <w:tc>
          <w:tcPr>
            <w:tcW w:w="807" w:type="dxa"/>
          </w:tcPr>
          <w:p w14:paraId="1B268F54" w14:textId="3980EC07" w:rsidR="005A1243" w:rsidRPr="00BD4DAB" w:rsidRDefault="003D23D0" w:rsidP="009F4698">
            <w:pPr>
              <w:pStyle w:val="NoSpacing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Feb 2024</w:t>
            </w:r>
          </w:p>
        </w:tc>
      </w:tr>
      <w:tr w:rsidR="001A284B" w:rsidRPr="00BD4DAB" w14:paraId="64BED1D6" w14:textId="77777777" w:rsidTr="00E638AD">
        <w:trPr>
          <w:trHeight w:val="283"/>
        </w:trPr>
        <w:tc>
          <w:tcPr>
            <w:tcW w:w="1009" w:type="dxa"/>
          </w:tcPr>
          <w:p w14:paraId="2F1D01EB" w14:textId="77777777" w:rsidR="005A1243" w:rsidRPr="009F4698" w:rsidRDefault="005A1243" w:rsidP="009F4698">
            <w:pPr>
              <w:pStyle w:val="NoSpacing"/>
              <w:rPr>
                <w:b/>
                <w:bCs/>
                <w:i/>
                <w:iCs/>
                <w:sz w:val="12"/>
                <w:szCs w:val="12"/>
              </w:rPr>
            </w:pPr>
            <w:r w:rsidRPr="009F4698">
              <w:rPr>
                <w:b/>
                <w:bCs/>
                <w:i/>
                <w:iCs/>
                <w:sz w:val="12"/>
                <w:szCs w:val="12"/>
              </w:rPr>
              <w:t>STOXX Europe 600</w:t>
            </w:r>
          </w:p>
        </w:tc>
        <w:tc>
          <w:tcPr>
            <w:tcW w:w="862" w:type="dxa"/>
          </w:tcPr>
          <w:p w14:paraId="06DF6E24" w14:textId="77777777" w:rsidR="005A1243" w:rsidRPr="00BD4DAB" w:rsidRDefault="005A1243" w:rsidP="009F4698">
            <w:pPr>
              <w:pStyle w:val="NoSpacing"/>
              <w:jc w:val="center"/>
              <w:rPr>
                <w:sz w:val="12"/>
                <w:szCs w:val="12"/>
              </w:rPr>
            </w:pPr>
            <w:r w:rsidRPr="00182871">
              <w:rPr>
                <w:sz w:val="12"/>
                <w:szCs w:val="12"/>
              </w:rPr>
              <w:t>SXXP</w:t>
            </w:r>
          </w:p>
        </w:tc>
        <w:tc>
          <w:tcPr>
            <w:tcW w:w="992" w:type="dxa"/>
          </w:tcPr>
          <w:p w14:paraId="4490FF6B" w14:textId="77777777" w:rsidR="005A1243" w:rsidRPr="00BD4DAB" w:rsidRDefault="005A1243" w:rsidP="009F4698">
            <w:pPr>
              <w:pStyle w:val="NoSpacing"/>
              <w:jc w:val="center"/>
              <w:rPr>
                <w:sz w:val="12"/>
                <w:szCs w:val="12"/>
              </w:rPr>
            </w:pPr>
            <w:r w:rsidRPr="00182871">
              <w:rPr>
                <w:sz w:val="12"/>
                <w:szCs w:val="12"/>
              </w:rPr>
              <w:t>EU0009658202</w:t>
            </w:r>
          </w:p>
        </w:tc>
        <w:tc>
          <w:tcPr>
            <w:tcW w:w="789" w:type="dxa"/>
          </w:tcPr>
          <w:p w14:paraId="09A38963" w14:textId="77777777" w:rsidR="005A1243" w:rsidRPr="00BD4DAB" w:rsidRDefault="005A1243" w:rsidP="009F4698">
            <w:pPr>
              <w:pStyle w:val="NoSpacing"/>
              <w:jc w:val="center"/>
              <w:rPr>
                <w:sz w:val="12"/>
                <w:szCs w:val="12"/>
              </w:rPr>
            </w:pPr>
            <w:r w:rsidRPr="00BD4DAB">
              <w:rPr>
                <w:sz w:val="12"/>
                <w:szCs w:val="12"/>
              </w:rPr>
              <w:t>DJSTOXX</w:t>
            </w:r>
          </w:p>
        </w:tc>
        <w:tc>
          <w:tcPr>
            <w:tcW w:w="884" w:type="dxa"/>
          </w:tcPr>
          <w:p w14:paraId="61DA4273" w14:textId="77777777" w:rsidR="005A1243" w:rsidRPr="00BD4DAB" w:rsidRDefault="005A1243" w:rsidP="009F4698">
            <w:pPr>
              <w:pStyle w:val="NoSpacing"/>
              <w:jc w:val="center"/>
              <w:rPr>
                <w:sz w:val="12"/>
                <w:szCs w:val="12"/>
              </w:rPr>
            </w:pPr>
            <w:r w:rsidRPr="00BD4DAB">
              <w:rPr>
                <w:sz w:val="12"/>
                <w:szCs w:val="12"/>
              </w:rPr>
              <w:t>Europe</w:t>
            </w:r>
          </w:p>
        </w:tc>
        <w:tc>
          <w:tcPr>
            <w:tcW w:w="808" w:type="dxa"/>
          </w:tcPr>
          <w:p w14:paraId="0D342B6B" w14:textId="475FA584" w:rsidR="005A1243" w:rsidRPr="00BD4DAB" w:rsidRDefault="007D7E64" w:rsidP="009F4698">
            <w:pPr>
              <w:pStyle w:val="NoSpacing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29/12/2000</w:t>
            </w:r>
          </w:p>
        </w:tc>
        <w:tc>
          <w:tcPr>
            <w:tcW w:w="869" w:type="dxa"/>
          </w:tcPr>
          <w:p w14:paraId="25726218" w14:textId="4F2D4991" w:rsidR="005A1243" w:rsidRPr="00BD4DAB" w:rsidRDefault="007D7E64" w:rsidP="009F4698">
            <w:pPr>
              <w:pStyle w:val="NoSpacing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29/02/2024</w:t>
            </w:r>
          </w:p>
        </w:tc>
        <w:tc>
          <w:tcPr>
            <w:tcW w:w="460" w:type="dxa"/>
          </w:tcPr>
          <w:p w14:paraId="3029EB5E" w14:textId="53040C95" w:rsidR="005A1243" w:rsidRPr="00BD4DAB" w:rsidRDefault="007D7E64" w:rsidP="009F4698">
            <w:pPr>
              <w:pStyle w:val="NoSpacing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0102</w:t>
            </w:r>
          </w:p>
        </w:tc>
        <w:tc>
          <w:tcPr>
            <w:tcW w:w="460" w:type="dxa"/>
          </w:tcPr>
          <w:p w14:paraId="533734E9" w14:textId="2F9022FE" w:rsidR="005A1243" w:rsidRPr="00BD4DAB" w:rsidRDefault="007D7E64" w:rsidP="009F4698">
            <w:pPr>
              <w:pStyle w:val="NoSpacing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0324</w:t>
            </w:r>
          </w:p>
        </w:tc>
        <w:tc>
          <w:tcPr>
            <w:tcW w:w="640" w:type="dxa"/>
          </w:tcPr>
          <w:p w14:paraId="07F5BE97" w14:textId="50E7DE74" w:rsidR="005A1243" w:rsidRPr="00BD4DAB" w:rsidRDefault="009F4698" w:rsidP="009F4698">
            <w:pPr>
              <w:pStyle w:val="NoSpacing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600</w:t>
            </w:r>
          </w:p>
        </w:tc>
        <w:tc>
          <w:tcPr>
            <w:tcW w:w="496" w:type="dxa"/>
          </w:tcPr>
          <w:p w14:paraId="799D6890" w14:textId="6A26B7CB" w:rsidR="005A1243" w:rsidRPr="00BD4DAB" w:rsidRDefault="00E638AD" w:rsidP="009F4698">
            <w:pPr>
              <w:pStyle w:val="NoSpacing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Jan 2002</w:t>
            </w:r>
          </w:p>
        </w:tc>
        <w:tc>
          <w:tcPr>
            <w:tcW w:w="807" w:type="dxa"/>
          </w:tcPr>
          <w:p w14:paraId="26C167FB" w14:textId="72A100B1" w:rsidR="005A1243" w:rsidRPr="00BD4DAB" w:rsidRDefault="00E638AD" w:rsidP="009F4698">
            <w:pPr>
              <w:pStyle w:val="NoSpacing"/>
              <w:jc w:val="center"/>
              <w:rPr>
                <w:sz w:val="12"/>
                <w:szCs w:val="12"/>
              </w:rPr>
            </w:pPr>
            <w:commentRangeStart w:id="1"/>
            <w:r>
              <w:rPr>
                <w:sz w:val="12"/>
                <w:szCs w:val="12"/>
              </w:rPr>
              <w:t>Feb 2024</w:t>
            </w:r>
            <w:commentRangeEnd w:id="1"/>
            <w:r>
              <w:rPr>
                <w:rStyle w:val="CommentReference"/>
                <w:color w:val="auto"/>
              </w:rPr>
              <w:commentReference w:id="1"/>
            </w:r>
          </w:p>
        </w:tc>
      </w:tr>
      <w:tr w:rsidR="001A284B" w:rsidRPr="00BD4DAB" w14:paraId="150B9D51" w14:textId="77777777" w:rsidTr="00E63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tcW w:w="1009" w:type="dxa"/>
          </w:tcPr>
          <w:p w14:paraId="0784EDCA" w14:textId="77777777" w:rsidR="005A1243" w:rsidRPr="009F4698" w:rsidRDefault="005A1243" w:rsidP="009F4698">
            <w:pPr>
              <w:pStyle w:val="NoSpacing"/>
              <w:rPr>
                <w:b/>
                <w:bCs/>
                <w:i/>
                <w:iCs/>
                <w:sz w:val="12"/>
                <w:szCs w:val="12"/>
              </w:rPr>
            </w:pPr>
            <w:r w:rsidRPr="009F4698">
              <w:rPr>
                <w:b/>
                <w:bCs/>
                <w:i/>
                <w:iCs/>
                <w:sz w:val="12"/>
                <w:szCs w:val="12"/>
              </w:rPr>
              <w:t>Swiss Market Index</w:t>
            </w:r>
          </w:p>
        </w:tc>
        <w:tc>
          <w:tcPr>
            <w:tcW w:w="862" w:type="dxa"/>
          </w:tcPr>
          <w:p w14:paraId="11A31934" w14:textId="77777777" w:rsidR="005A1243" w:rsidRPr="00BD4DAB" w:rsidRDefault="005A1243" w:rsidP="009F4698">
            <w:pPr>
              <w:pStyle w:val="NoSpacing"/>
              <w:jc w:val="center"/>
              <w:rPr>
                <w:sz w:val="12"/>
                <w:szCs w:val="12"/>
              </w:rPr>
            </w:pPr>
            <w:r w:rsidRPr="00182871">
              <w:rPr>
                <w:sz w:val="12"/>
                <w:szCs w:val="12"/>
              </w:rPr>
              <w:t>SMI</w:t>
            </w:r>
          </w:p>
        </w:tc>
        <w:tc>
          <w:tcPr>
            <w:tcW w:w="992" w:type="dxa"/>
          </w:tcPr>
          <w:p w14:paraId="390AA9EC" w14:textId="77777777" w:rsidR="005A1243" w:rsidRPr="00BD4DAB" w:rsidRDefault="005A1243" w:rsidP="009F4698">
            <w:pPr>
              <w:pStyle w:val="NoSpacing"/>
              <w:jc w:val="center"/>
              <w:rPr>
                <w:sz w:val="12"/>
                <w:szCs w:val="12"/>
              </w:rPr>
            </w:pPr>
            <w:r w:rsidRPr="00C05FD1">
              <w:rPr>
                <w:sz w:val="12"/>
                <w:szCs w:val="12"/>
              </w:rPr>
              <w:t>CH0009980894</w:t>
            </w:r>
          </w:p>
        </w:tc>
        <w:tc>
          <w:tcPr>
            <w:tcW w:w="789" w:type="dxa"/>
          </w:tcPr>
          <w:p w14:paraId="692587E4" w14:textId="77777777" w:rsidR="005A1243" w:rsidRPr="00BD4DAB" w:rsidRDefault="005A1243" w:rsidP="009F4698">
            <w:pPr>
              <w:pStyle w:val="NoSpacing"/>
              <w:jc w:val="center"/>
              <w:rPr>
                <w:sz w:val="12"/>
                <w:szCs w:val="12"/>
              </w:rPr>
            </w:pPr>
            <w:r w:rsidRPr="00BD4DAB">
              <w:rPr>
                <w:sz w:val="12"/>
                <w:szCs w:val="12"/>
              </w:rPr>
              <w:t>SWISSMI</w:t>
            </w:r>
          </w:p>
        </w:tc>
        <w:tc>
          <w:tcPr>
            <w:tcW w:w="884" w:type="dxa"/>
          </w:tcPr>
          <w:p w14:paraId="5FDB28C4" w14:textId="77777777" w:rsidR="005A1243" w:rsidRPr="00BD4DAB" w:rsidRDefault="005A1243" w:rsidP="009F4698">
            <w:pPr>
              <w:pStyle w:val="NoSpacing"/>
              <w:jc w:val="center"/>
              <w:rPr>
                <w:sz w:val="12"/>
                <w:szCs w:val="12"/>
              </w:rPr>
            </w:pPr>
            <w:r w:rsidRPr="00BD4DAB">
              <w:rPr>
                <w:sz w:val="12"/>
                <w:szCs w:val="12"/>
              </w:rPr>
              <w:t>Switzerland</w:t>
            </w:r>
          </w:p>
        </w:tc>
        <w:tc>
          <w:tcPr>
            <w:tcW w:w="808" w:type="dxa"/>
          </w:tcPr>
          <w:p w14:paraId="75B7D977" w14:textId="7F585233" w:rsidR="005A1243" w:rsidRPr="00BD4DAB" w:rsidRDefault="00304B46" w:rsidP="009F4698">
            <w:pPr>
              <w:pStyle w:val="NoSpacing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30/04/1993</w:t>
            </w:r>
          </w:p>
        </w:tc>
        <w:tc>
          <w:tcPr>
            <w:tcW w:w="869" w:type="dxa"/>
          </w:tcPr>
          <w:p w14:paraId="317DD44B" w14:textId="77777777" w:rsidR="00304B46" w:rsidRPr="0091180C" w:rsidRDefault="00304B46" w:rsidP="00304B46">
            <w:pPr>
              <w:pStyle w:val="NoSpacing"/>
              <w:jc w:val="center"/>
              <w:rPr>
                <w:sz w:val="12"/>
                <w:szCs w:val="12"/>
              </w:rPr>
            </w:pPr>
            <w:r w:rsidRPr="0091180C">
              <w:rPr>
                <w:sz w:val="12"/>
                <w:szCs w:val="12"/>
              </w:rPr>
              <w:t>31/12/2022</w:t>
            </w:r>
          </w:p>
          <w:p w14:paraId="291EAA82" w14:textId="434619D0" w:rsidR="005A1243" w:rsidRPr="00BD4DAB" w:rsidRDefault="00304B46" w:rsidP="00304B46">
            <w:pPr>
              <w:pStyle w:val="NoSpacing"/>
              <w:jc w:val="center"/>
              <w:rPr>
                <w:sz w:val="12"/>
                <w:szCs w:val="12"/>
              </w:rPr>
            </w:pPr>
            <w:r w:rsidRPr="0091180C">
              <w:rPr>
                <w:sz w:val="12"/>
                <w:szCs w:val="12"/>
              </w:rPr>
              <w:t>(30/12/2022)</w:t>
            </w:r>
          </w:p>
        </w:tc>
        <w:tc>
          <w:tcPr>
            <w:tcW w:w="460" w:type="dxa"/>
          </w:tcPr>
          <w:p w14:paraId="188015DF" w14:textId="1A3EE047" w:rsidR="005A1243" w:rsidRPr="00BD4DAB" w:rsidRDefault="00304B46" w:rsidP="009F4698">
            <w:pPr>
              <w:pStyle w:val="NoSpacing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0701</w:t>
            </w:r>
          </w:p>
        </w:tc>
        <w:tc>
          <w:tcPr>
            <w:tcW w:w="460" w:type="dxa"/>
          </w:tcPr>
          <w:p w14:paraId="04D3BAEC" w14:textId="46C7D390" w:rsidR="005A1243" w:rsidRPr="00BD4DAB" w:rsidRDefault="00304B46" w:rsidP="009F4698">
            <w:pPr>
              <w:pStyle w:val="NoSpacing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1023</w:t>
            </w:r>
          </w:p>
        </w:tc>
        <w:tc>
          <w:tcPr>
            <w:tcW w:w="640" w:type="dxa"/>
          </w:tcPr>
          <w:p w14:paraId="49B697F8" w14:textId="48F18B35" w:rsidR="005A1243" w:rsidRPr="00BD4DAB" w:rsidRDefault="009F4698" w:rsidP="009F4698">
            <w:pPr>
              <w:pStyle w:val="NoSpacing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</w:t>
            </w:r>
          </w:p>
        </w:tc>
        <w:tc>
          <w:tcPr>
            <w:tcW w:w="496" w:type="dxa"/>
          </w:tcPr>
          <w:p w14:paraId="7CF0F3AF" w14:textId="388A88BD" w:rsidR="005A1243" w:rsidRPr="00BD4DAB" w:rsidRDefault="00304B46" w:rsidP="009F4698">
            <w:pPr>
              <w:pStyle w:val="NoSpacing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July 2001</w:t>
            </w:r>
          </w:p>
        </w:tc>
        <w:tc>
          <w:tcPr>
            <w:tcW w:w="807" w:type="dxa"/>
          </w:tcPr>
          <w:p w14:paraId="42C184AC" w14:textId="022F8E5E" w:rsidR="005A1243" w:rsidRPr="00BD4DAB" w:rsidRDefault="00304B46" w:rsidP="009F4698">
            <w:pPr>
              <w:pStyle w:val="NoSpacing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Dec 2022</w:t>
            </w:r>
          </w:p>
        </w:tc>
      </w:tr>
    </w:tbl>
    <w:p w14:paraId="028CA00D" w14:textId="77777777" w:rsidR="00DE2226" w:rsidRDefault="00DE2226" w:rsidP="00DE2226"/>
    <w:p w14:paraId="435A0145" w14:textId="3BFD615A" w:rsidR="000750BF" w:rsidRDefault="000750BF" w:rsidP="000750BF">
      <w:pPr>
        <w:pStyle w:val="IntenseQuote"/>
      </w:pPr>
      <w:r>
        <w:br w:type="page"/>
      </w:r>
    </w:p>
    <w:p w14:paraId="23D8E601" w14:textId="69963AC8" w:rsidR="009B511A" w:rsidRDefault="009B511A" w:rsidP="009B511A">
      <w:pPr>
        <w:pStyle w:val="Title"/>
        <w:jc w:val="both"/>
      </w:pPr>
      <w:r w:rsidRPr="00C3382A">
        <w:lastRenderedPageBreak/>
        <w:t>Data Definition of DataStream</w:t>
      </w:r>
      <w:r>
        <w:t xml:space="preserve"> Data</w:t>
      </w:r>
      <w:r w:rsidRPr="00C3382A">
        <w:t xml:space="preserve">: </w:t>
      </w:r>
    </w:p>
    <w:p w14:paraId="52FC7E9E" w14:textId="6DA44178" w:rsidR="009B511A" w:rsidRPr="00883E37" w:rsidRDefault="009B511A" w:rsidP="009B511A">
      <w:pPr>
        <w:pStyle w:val="Subtitle"/>
      </w:pPr>
      <w:commentRangeStart w:id="2"/>
      <w:commentRangeStart w:id="3"/>
      <w:r>
        <w:t>Daily Return (in 1 year prior) – Stocks and Index</w:t>
      </w:r>
      <w:commentRangeEnd w:id="2"/>
      <w:r>
        <w:rPr>
          <w:rStyle w:val="CommentReference"/>
          <w:rFonts w:eastAsiaTheme="minorHAnsi"/>
          <w:color w:val="auto"/>
          <w:spacing w:val="0"/>
        </w:rPr>
        <w:commentReference w:id="2"/>
      </w:r>
      <w:commentRangeEnd w:id="3"/>
      <w:r>
        <w:rPr>
          <w:rStyle w:val="CommentReference"/>
          <w:rFonts w:eastAsiaTheme="minorHAnsi"/>
          <w:color w:val="auto"/>
          <w:spacing w:val="0"/>
        </w:rPr>
        <w:commentReference w:id="3"/>
      </w:r>
    </w:p>
    <w:p w14:paraId="3B924D76" w14:textId="77777777" w:rsidR="009B511A" w:rsidRDefault="009B511A" w:rsidP="009B511A"/>
    <w:p w14:paraId="76B28E71" w14:textId="77777777" w:rsidR="009B511A" w:rsidRDefault="009B511A" w:rsidP="009B511A">
      <w:r w:rsidRPr="005F3D74">
        <w:rPr>
          <w:rStyle w:val="IntenseReference"/>
        </w:rPr>
        <w:t>Variables that use this data</w:t>
      </w:r>
      <w:r>
        <w:t xml:space="preserve">: </w:t>
      </w:r>
    </w:p>
    <w:p w14:paraId="4D41A38A" w14:textId="19A6EED3" w:rsidR="00D76C68" w:rsidRDefault="00D76C68" w:rsidP="00D76C68">
      <w:pPr>
        <w:rPr>
          <w:rStyle w:val="Strong"/>
          <w:b w:val="0"/>
          <w:bCs w:val="0"/>
        </w:rPr>
      </w:pPr>
      <w:commentRangeStart w:id="4"/>
      <w:r>
        <w:rPr>
          <w:rStyle w:val="Strong"/>
          <w:b w:val="0"/>
          <w:bCs w:val="0"/>
        </w:rPr>
        <w:t xml:space="preserve">From these daily returns, weekly aggregates have been calculated and these have been used </w:t>
      </w:r>
      <w:r w:rsidR="000D2161">
        <w:rPr>
          <w:rStyle w:val="Strong"/>
          <w:b w:val="0"/>
          <w:bCs w:val="0"/>
        </w:rPr>
        <w:t xml:space="preserve">for </w:t>
      </w:r>
      <w:r>
        <w:rPr>
          <w:rStyle w:val="Strong"/>
          <w:b w:val="0"/>
          <w:bCs w:val="0"/>
        </w:rPr>
        <w:t xml:space="preserve">variables </w:t>
      </w:r>
      <w:r w:rsidR="000D2161">
        <w:rPr>
          <w:rStyle w:val="Strong"/>
          <w:b w:val="0"/>
          <w:bCs w:val="0"/>
        </w:rPr>
        <w:t xml:space="preserve">indicated with an asterix. </w:t>
      </w:r>
      <w:commentRangeEnd w:id="4"/>
      <w:r w:rsidR="000D2161">
        <w:rPr>
          <w:rStyle w:val="CommentReference"/>
        </w:rPr>
        <w:commentReference w:id="4"/>
      </w:r>
    </w:p>
    <w:p w14:paraId="267197BC" w14:textId="77777777" w:rsidR="00FD3A2C" w:rsidRDefault="00FD3A2C" w:rsidP="00FD3A2C">
      <w:r>
        <w:t>For Index:</w:t>
      </w:r>
    </w:p>
    <w:p w14:paraId="446BA50A" w14:textId="79C38B1A" w:rsidR="00FD3A2C" w:rsidRDefault="00FD3A2C" w:rsidP="00FD3A2C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 w:rsidRPr="00B27A88">
        <w:rPr>
          <w:rStyle w:val="Strong"/>
          <w:b w:val="0"/>
          <w:bCs w:val="0"/>
        </w:rPr>
        <w:t xml:space="preserve">Comove as an Unexplained Return Premium, </w:t>
      </w:r>
      <w:r>
        <w:rPr>
          <w:rStyle w:val="Strong"/>
          <w:b w:val="0"/>
          <w:bCs w:val="0"/>
        </w:rPr>
        <w:t>Main Results: Comove*, and Beta.</w:t>
      </w:r>
    </w:p>
    <w:p w14:paraId="70A7533C" w14:textId="5DD457B4" w:rsidR="00FD3A2C" w:rsidRDefault="00FD3A2C" w:rsidP="00FD3A2C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Comove as an Unexplained Return Premium, Robustness Tests, Alternative Factor Measures: Comove*, and Beta.</w:t>
      </w:r>
    </w:p>
    <w:p w14:paraId="5E31267F" w14:textId="55030ABB" w:rsidR="00FD3A2C" w:rsidRDefault="00FD3A2C" w:rsidP="00FD3A2C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Comove as an Unexplained Return Premium, Robustness Tests, Alternative Portfolio Aggregation: Comove*, and Beta.</w:t>
      </w:r>
    </w:p>
    <w:p w14:paraId="1E9EC02A" w14:textId="55C7E5A1" w:rsidR="00FD3A2C" w:rsidRDefault="00FD3A2C" w:rsidP="00FD3A2C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Comove as an Unexplained Return Premium, Robustness Tests, Controlling for Fama and MacBeth regressions, Main variables: Comove*, and Beta. </w:t>
      </w:r>
    </w:p>
    <w:p w14:paraId="4B3EBF8F" w14:textId="43EE4405" w:rsidR="00FD3A2C" w:rsidRDefault="00FD3A2C" w:rsidP="00FD3A2C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Comove as an Unexplained Return Premium, Robustness Tests, Controlling for Fama and MacBeth regressions, Other Measurements of Dependency and Volatility: Downside beta, Upside beta, Lower tail dependence, Upper tail dependence, and Idiosyncratic Volatility.</w:t>
      </w:r>
    </w:p>
    <w:p w14:paraId="18FD31C9" w14:textId="383FB626" w:rsidR="00FD3A2C" w:rsidRDefault="00FD3A2C" w:rsidP="00FD3A2C">
      <w:pPr>
        <w:pStyle w:val="ListParagraph"/>
        <w:numPr>
          <w:ilvl w:val="0"/>
          <w:numId w:val="5"/>
        </w:numPr>
      </w:pPr>
      <w:r>
        <w:rPr>
          <w:rStyle w:val="Strong"/>
          <w:b w:val="0"/>
          <w:bCs w:val="0"/>
        </w:rPr>
        <w:t xml:space="preserve">Comove as an Unexplained Return Premium, Robustness Tests, Controlling for Fama and MacBeth regressions, other benchmarks, fixed effects and skipped month: Comove with adjusted period*. </w:t>
      </w:r>
    </w:p>
    <w:p w14:paraId="2ADAC984" w14:textId="42368208" w:rsidR="00FD3A2C" w:rsidRPr="00D76C68" w:rsidRDefault="00FD3A2C" w:rsidP="00D76C68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For Stocks:</w:t>
      </w:r>
    </w:p>
    <w:p w14:paraId="31DB6E9B" w14:textId="3424D551" w:rsidR="009B511A" w:rsidRDefault="00B27A88" w:rsidP="00B27A88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 w:rsidRPr="00B27A88">
        <w:rPr>
          <w:rStyle w:val="Strong"/>
          <w:b w:val="0"/>
          <w:bCs w:val="0"/>
        </w:rPr>
        <w:t xml:space="preserve">Comove as an Unexplained Return Premium, </w:t>
      </w:r>
      <w:r>
        <w:rPr>
          <w:rStyle w:val="Strong"/>
          <w:b w:val="0"/>
          <w:bCs w:val="0"/>
        </w:rPr>
        <w:t>Main Results: Comove</w:t>
      </w:r>
      <w:r w:rsidR="000D2161">
        <w:rPr>
          <w:rStyle w:val="Strong"/>
          <w:b w:val="0"/>
          <w:bCs w:val="0"/>
        </w:rPr>
        <w:t>*</w:t>
      </w:r>
      <w:r>
        <w:rPr>
          <w:rStyle w:val="Strong"/>
          <w:b w:val="0"/>
          <w:bCs w:val="0"/>
        </w:rPr>
        <w:t>, Beta, and Return.</w:t>
      </w:r>
    </w:p>
    <w:p w14:paraId="190708EE" w14:textId="041854E7" w:rsidR="00B27A88" w:rsidRDefault="00B27A88" w:rsidP="00B27A88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Comove as an Unexplained Return Premium, Robustness Tests, Alternative Factor Measures: Comove</w:t>
      </w:r>
      <w:r w:rsidR="000D2161">
        <w:rPr>
          <w:rStyle w:val="Strong"/>
          <w:b w:val="0"/>
          <w:bCs w:val="0"/>
        </w:rPr>
        <w:t>*</w:t>
      </w:r>
      <w:r>
        <w:rPr>
          <w:rStyle w:val="Strong"/>
          <w:b w:val="0"/>
          <w:bCs w:val="0"/>
        </w:rPr>
        <w:t>, Beta, Market Premium, and Return.</w:t>
      </w:r>
    </w:p>
    <w:p w14:paraId="6C8B4135" w14:textId="528AAA4A" w:rsidR="00B27A88" w:rsidRDefault="00B27A88" w:rsidP="00B27A88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Comove as an Unexplained Return Premium, Robustness Tests, Alternative Portfolio Aggregation: Comove</w:t>
      </w:r>
      <w:r w:rsidR="000D2161">
        <w:rPr>
          <w:rStyle w:val="Strong"/>
          <w:b w:val="0"/>
          <w:bCs w:val="0"/>
        </w:rPr>
        <w:t>*</w:t>
      </w:r>
      <w:r>
        <w:rPr>
          <w:rStyle w:val="Strong"/>
          <w:b w:val="0"/>
          <w:bCs w:val="0"/>
        </w:rPr>
        <w:t>, Beta, and Return.</w:t>
      </w:r>
    </w:p>
    <w:p w14:paraId="22922B09" w14:textId="2CB3BAD1" w:rsidR="00B27A88" w:rsidRDefault="00B27A88" w:rsidP="00B27A88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Comove as an Unexplained Return Premium, Robustness Tests, Controlling for Fama and MacBeth regressions, Main variables: Comove</w:t>
      </w:r>
      <w:r w:rsidR="000D2161">
        <w:rPr>
          <w:rStyle w:val="Strong"/>
          <w:b w:val="0"/>
          <w:bCs w:val="0"/>
        </w:rPr>
        <w:t>*</w:t>
      </w:r>
      <w:r>
        <w:rPr>
          <w:rStyle w:val="Strong"/>
          <w:b w:val="0"/>
          <w:bCs w:val="0"/>
        </w:rPr>
        <w:t xml:space="preserve">, Beta, </w:t>
      </w:r>
      <w:r w:rsidR="00D76C68">
        <w:rPr>
          <w:rStyle w:val="Strong"/>
          <w:b w:val="0"/>
          <w:bCs w:val="0"/>
        </w:rPr>
        <w:t xml:space="preserve">Momentum, and Return. </w:t>
      </w:r>
    </w:p>
    <w:p w14:paraId="757A5518" w14:textId="275CCBFF" w:rsidR="00B27A88" w:rsidRDefault="00B27A88" w:rsidP="00B27A88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Comove as an Unexplained Return Premium, Robustness Tests, Controlling for Fama and MacBeth regressions,</w:t>
      </w:r>
      <w:r w:rsidR="00D76C68">
        <w:rPr>
          <w:rStyle w:val="Strong"/>
          <w:b w:val="0"/>
          <w:bCs w:val="0"/>
        </w:rPr>
        <w:t xml:space="preserve"> Other Measurements of Dependency and Volatility</w:t>
      </w:r>
      <w:r>
        <w:rPr>
          <w:rStyle w:val="Strong"/>
          <w:b w:val="0"/>
          <w:bCs w:val="0"/>
        </w:rPr>
        <w:t xml:space="preserve">: </w:t>
      </w:r>
      <w:r w:rsidR="00D76C68">
        <w:rPr>
          <w:rStyle w:val="Strong"/>
          <w:b w:val="0"/>
          <w:bCs w:val="0"/>
        </w:rPr>
        <w:t xml:space="preserve">Downside beta, Upside beta, Lower tail dependence, Upper tail dependence, Idiosyncratic Volatility, Minimum Return, Maximum Return, and Illiquidity Ratio. </w:t>
      </w:r>
    </w:p>
    <w:p w14:paraId="33508C9E" w14:textId="0D61614B" w:rsidR="00D76C68" w:rsidRPr="00FD3A2C" w:rsidRDefault="00D76C68" w:rsidP="00FD3A2C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Comove as an Unexplained Return Premium, Robustness Tests, Controlling for Fama and MacBeth regressions, other benchmarks, fixed effects and skipped month: Short-term momentum, Medium-term momentum, and Comove with adjusted period</w:t>
      </w:r>
      <w:r w:rsidR="007E14F8">
        <w:rPr>
          <w:rStyle w:val="Strong"/>
          <w:b w:val="0"/>
          <w:bCs w:val="0"/>
        </w:rPr>
        <w:t>*</w:t>
      </w:r>
      <w:r>
        <w:rPr>
          <w:rStyle w:val="Strong"/>
          <w:b w:val="0"/>
          <w:bCs w:val="0"/>
        </w:rPr>
        <w:t xml:space="preserve">. </w:t>
      </w:r>
    </w:p>
    <w:p w14:paraId="494BC512" w14:textId="77777777" w:rsidR="00B27A88" w:rsidRDefault="00B27A88" w:rsidP="009B511A">
      <w:pPr>
        <w:rPr>
          <w:rStyle w:val="Strong"/>
        </w:rPr>
      </w:pPr>
    </w:p>
    <w:p w14:paraId="2F5DCB50" w14:textId="77777777" w:rsidR="00FD3A2C" w:rsidRDefault="00FD3A2C">
      <w:pPr>
        <w:rPr>
          <w:rStyle w:val="IntenseReference"/>
        </w:rPr>
      </w:pPr>
      <w:r>
        <w:rPr>
          <w:rStyle w:val="IntenseReference"/>
        </w:rPr>
        <w:br w:type="page"/>
      </w:r>
    </w:p>
    <w:p w14:paraId="4A2F0B32" w14:textId="7F3BACB6" w:rsidR="009B511A" w:rsidRPr="00C3382A" w:rsidRDefault="009B511A" w:rsidP="009B511A">
      <w:r w:rsidRPr="005F3D74">
        <w:rPr>
          <w:rStyle w:val="IntenseReference"/>
        </w:rPr>
        <w:lastRenderedPageBreak/>
        <w:t>Datatype</w:t>
      </w:r>
      <w:r w:rsidRPr="00C3382A">
        <w:t>:</w:t>
      </w:r>
      <w:r>
        <w:t xml:space="preserve"> </w:t>
      </w:r>
      <w:r w:rsidR="007E14F8">
        <w:t>X(RI)~E</w:t>
      </w:r>
    </w:p>
    <w:p w14:paraId="3EF9F1BD" w14:textId="77777777" w:rsidR="00FD3A2C" w:rsidRDefault="009B511A" w:rsidP="009B511A">
      <w:pPr>
        <w:jc w:val="both"/>
        <w:rPr>
          <w:rStyle w:val="IntenseReference"/>
        </w:rPr>
      </w:pPr>
      <w:r w:rsidRPr="006D360C">
        <w:rPr>
          <w:rStyle w:val="IntenseReference"/>
        </w:rPr>
        <w:t xml:space="preserve">Command: </w:t>
      </w:r>
      <w:r>
        <w:rPr>
          <w:rStyle w:val="IntenseReference"/>
        </w:rPr>
        <w:t xml:space="preserve"> </w:t>
      </w:r>
    </w:p>
    <w:p w14:paraId="13CC60CF" w14:textId="036B6BB4" w:rsidR="00FD3A2C" w:rsidRPr="00FD3A2C" w:rsidRDefault="00FD3A2C" w:rsidP="009B511A">
      <w:pPr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t xml:space="preserve">For Index: = </w:t>
      </w:r>
      <w:r w:rsidRPr="008771B5">
        <w:t>DSGRID("DJSTOXX";"RI";"1999-01-01";"2024-03-31";"</w:t>
      </w:r>
      <w:r>
        <w:t>D</w:t>
      </w:r>
      <w:r w:rsidRPr="008771B5">
        <w:t>;"RowHeader=true;ColHeader=true;Heading=true;Curn=true;DispSeriesDescription=true;YearlyTSFormat=false;QuarterlyTSFormat=false;MonthlyTSFormat=False";"")</w:t>
      </w:r>
    </w:p>
    <w:p w14:paraId="09CD63AB" w14:textId="7D1117D6" w:rsidR="009B511A" w:rsidRDefault="00FD3A2C" w:rsidP="009B511A">
      <w:pPr>
        <w:jc w:val="both"/>
      </w:pPr>
      <w:r w:rsidRPr="00FD3A2C">
        <w:t>For Stocks:</w:t>
      </w:r>
      <w:r>
        <w:rPr>
          <w:rStyle w:val="IntenseReference"/>
        </w:rPr>
        <w:t xml:space="preserve"> </w:t>
      </w:r>
      <w:r w:rsidR="009B511A" w:rsidRPr="000348C8">
        <w:t>= DSGRID.(“LDJSTOXX</w:t>
      </w:r>
      <w:r w:rsidR="009B511A" w:rsidRPr="000348C8">
        <w:rPr>
          <w:rStyle w:val="IntenseEmphasis"/>
        </w:rPr>
        <w:t>MMYY</w:t>
      </w:r>
      <w:r w:rsidR="009B511A" w:rsidRPr="000348C8">
        <w:t>”, “</w:t>
      </w:r>
      <w:r w:rsidR="007E14F8">
        <w:t>X(RI)~E</w:t>
      </w:r>
      <w:r w:rsidR="009B511A" w:rsidRPr="000348C8">
        <w:t>”, “</w:t>
      </w:r>
      <w:proofErr w:type="spellStart"/>
      <w:r w:rsidR="009B511A" w:rsidRPr="000348C8">
        <w:rPr>
          <w:rStyle w:val="IntenseEmphasis"/>
        </w:rPr>
        <w:t>start</w:t>
      </w:r>
      <w:r w:rsidR="009B511A">
        <w:rPr>
          <w:rStyle w:val="IntenseEmphasis"/>
        </w:rPr>
        <w:t>D</w:t>
      </w:r>
      <w:r w:rsidR="009B511A" w:rsidRPr="000348C8">
        <w:rPr>
          <w:rStyle w:val="IntenseEmphasis"/>
        </w:rPr>
        <w:t>ate</w:t>
      </w:r>
      <w:proofErr w:type="spellEnd"/>
      <w:r w:rsidR="009B511A" w:rsidRPr="000348C8">
        <w:t>”, “</w:t>
      </w:r>
      <w:proofErr w:type="spellStart"/>
      <w:r w:rsidR="009B511A" w:rsidRPr="000348C8">
        <w:rPr>
          <w:rStyle w:val="IntenseEmphasis"/>
        </w:rPr>
        <w:t>end</w:t>
      </w:r>
      <w:r w:rsidR="009B511A">
        <w:rPr>
          <w:rStyle w:val="IntenseEmphasis"/>
        </w:rPr>
        <w:t>Da</w:t>
      </w:r>
      <w:r w:rsidR="009B511A" w:rsidRPr="000348C8">
        <w:rPr>
          <w:rStyle w:val="IntenseEmphasis"/>
        </w:rPr>
        <w:t>te</w:t>
      </w:r>
      <w:proofErr w:type="spellEnd"/>
      <w:r w:rsidR="009B511A" w:rsidRPr="000348C8">
        <w:t>”, “</w:t>
      </w:r>
      <w:r w:rsidR="007E14F8">
        <w:t>D</w:t>
      </w:r>
      <w:r w:rsidR="009B511A" w:rsidRPr="000348C8">
        <w:t>”</w:t>
      </w:r>
      <w:r w:rsidR="009B511A">
        <w:t xml:space="preserve">, </w:t>
      </w:r>
      <w:r w:rsidR="009B511A" w:rsidRPr="000348C8">
        <w:t xml:space="preserve"> "RowHeader=true;TimeSeriesList=true;ColHeader=true;Transpose=true;DispSeriesDescription=false;YearlyTSFormat=false;QuarterlyTSFormat=false;Clearself=y;MonthlyTSFormat=True</w:t>
      </w:r>
      <w:r w:rsidR="009B511A">
        <w:t>”)</w:t>
      </w:r>
    </w:p>
    <w:p w14:paraId="27755D2E" w14:textId="77777777" w:rsidR="009B511A" w:rsidRDefault="009B511A" w:rsidP="009B511A">
      <w:pPr>
        <w:pStyle w:val="ListParagraph"/>
        <w:numPr>
          <w:ilvl w:val="0"/>
          <w:numId w:val="2"/>
        </w:numPr>
      </w:pPr>
      <w:r>
        <w:t xml:space="preserve">With </w:t>
      </w:r>
      <w:r w:rsidRPr="00E378D1">
        <w:rPr>
          <w:rStyle w:val="IntenseEmphasis"/>
        </w:rPr>
        <w:t>MMYY</w:t>
      </w:r>
      <w:r>
        <w:t xml:space="preserve"> the first month of each quarter, with the months ranging from 0102 until 0324. </w:t>
      </w:r>
    </w:p>
    <w:p w14:paraId="5C84812E" w14:textId="26E4B30D" w:rsidR="009B511A" w:rsidRPr="000348C8" w:rsidRDefault="009B511A" w:rsidP="009B511A">
      <w:pPr>
        <w:pStyle w:val="ListParagraph"/>
        <w:numPr>
          <w:ilvl w:val="0"/>
          <w:numId w:val="2"/>
        </w:numPr>
        <w:jc w:val="both"/>
      </w:pPr>
      <w:r>
        <w:t xml:space="preserve">With </w:t>
      </w:r>
      <w:proofErr w:type="spellStart"/>
      <w:r w:rsidRPr="00E378D1">
        <w:rPr>
          <w:rStyle w:val="IntenseEmphasis"/>
        </w:rPr>
        <w:t>start</w:t>
      </w:r>
      <w:r>
        <w:rPr>
          <w:rStyle w:val="IntenseEmphasis"/>
        </w:rPr>
        <w:t>D</w:t>
      </w:r>
      <w:r w:rsidRPr="00E378D1">
        <w:rPr>
          <w:rStyle w:val="IntenseEmphasis"/>
        </w:rPr>
        <w:t>ate</w:t>
      </w:r>
      <w:proofErr w:type="spellEnd"/>
      <w:r>
        <w:t xml:space="preserve"> and </w:t>
      </w:r>
      <w:proofErr w:type="spellStart"/>
      <w:r w:rsidRPr="00E378D1">
        <w:rPr>
          <w:rStyle w:val="IntenseEmphasis"/>
        </w:rPr>
        <w:t>end</w:t>
      </w:r>
      <w:r>
        <w:rPr>
          <w:rStyle w:val="IntenseEmphasis"/>
        </w:rPr>
        <w:t>D</w:t>
      </w:r>
      <w:r w:rsidRPr="00E378D1">
        <w:rPr>
          <w:rStyle w:val="IntenseEmphasis"/>
        </w:rPr>
        <w:t>ate</w:t>
      </w:r>
      <w:proofErr w:type="spellEnd"/>
      <w:r>
        <w:t xml:space="preserve"> in YYYY-MM-DD format; </w:t>
      </w:r>
      <w:proofErr w:type="spellStart"/>
      <w:r w:rsidRPr="00E378D1">
        <w:rPr>
          <w:rStyle w:val="IntenseEmphasis"/>
        </w:rPr>
        <w:t>startDate</w:t>
      </w:r>
      <w:proofErr w:type="spellEnd"/>
      <w:r>
        <w:t xml:space="preserve"> the first day of the </w:t>
      </w:r>
      <w:r w:rsidR="007E14F8">
        <w:t xml:space="preserve">year prior </w:t>
      </w:r>
      <w:r>
        <w:t xml:space="preserve">to MMYY and </w:t>
      </w:r>
      <w:proofErr w:type="spellStart"/>
      <w:r w:rsidRPr="00E378D1">
        <w:rPr>
          <w:rStyle w:val="IntenseEmphasis"/>
        </w:rPr>
        <w:t>endDate</w:t>
      </w:r>
      <w:proofErr w:type="spellEnd"/>
      <w:r>
        <w:t xml:space="preserve"> the last day of two months after the MMYY. For example, for Jan 2002, 2001-</w:t>
      </w:r>
      <w:r w:rsidR="007E14F8">
        <w:t>01</w:t>
      </w:r>
      <w:r>
        <w:t>-01 and 2002-03-31.</w:t>
      </w:r>
    </w:p>
    <w:p w14:paraId="625CA8E3" w14:textId="77777777" w:rsidR="009B511A" w:rsidRDefault="009B511A" w:rsidP="009B511A"/>
    <w:p w14:paraId="17C7EAE1" w14:textId="258A85BF" w:rsidR="009B511A" w:rsidRDefault="009B511A" w:rsidP="009B511A">
      <w:pPr>
        <w:jc w:val="both"/>
      </w:pPr>
      <w:r w:rsidRPr="00136141">
        <w:rPr>
          <w:rStyle w:val="IntenseReference"/>
        </w:rPr>
        <w:t>Definition</w:t>
      </w:r>
      <w:r>
        <w:t>:</w:t>
      </w:r>
      <w:r w:rsidR="00FD3A2C">
        <w:t xml:space="preserve"> This is the theoretical absolute growth in value of a share holding over that day, assuming that dividends are re-invested to purchase additional unites of the stock at the closing price applicable on the ex-dividend date.</w:t>
      </w:r>
      <w:r w:rsidR="00FD3A2C" w:rsidRPr="006D360C">
        <w:t xml:space="preserve"> </w:t>
      </w:r>
      <w:r w:rsidR="00FD3A2C">
        <w:t>Note that these “prices” are converted to euro.</w:t>
      </w:r>
    </w:p>
    <w:p w14:paraId="6B8A681E" w14:textId="77777777" w:rsidR="009B511A" w:rsidRPr="000348C8" w:rsidRDefault="009B511A" w:rsidP="009B511A"/>
    <w:p w14:paraId="37C93173" w14:textId="12DC1B32" w:rsidR="009B511A" w:rsidRDefault="007E14F8" w:rsidP="009B511A">
      <w:r w:rsidRPr="00372830">
        <w:rPr>
          <w:noProof/>
        </w:rPr>
        <w:lastRenderedPageBreak/>
        <w:drawing>
          <wp:inline distT="0" distB="0" distL="0" distR="0" wp14:anchorId="210C0D4E" wp14:editId="66672F64">
            <wp:extent cx="5731510" cy="56616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C7A5" w14:textId="77777777" w:rsidR="009B511A" w:rsidRDefault="009B511A" w:rsidP="009B511A">
      <w:pPr>
        <w:rPr>
          <w:rStyle w:val="IntenseEmphasis"/>
        </w:rPr>
      </w:pPr>
    </w:p>
    <w:p w14:paraId="4D49C7A1" w14:textId="77777777" w:rsidR="009B511A" w:rsidRPr="00C3382A" w:rsidRDefault="009B511A" w:rsidP="009B511A">
      <w:pPr>
        <w:rPr>
          <w:rStyle w:val="IntenseEmphasis"/>
        </w:rPr>
      </w:pPr>
    </w:p>
    <w:p w14:paraId="210F89C7" w14:textId="77777777" w:rsidR="00A55175" w:rsidRDefault="00A55175">
      <w:r>
        <w:br w:type="page"/>
      </w:r>
    </w:p>
    <w:p w14:paraId="6C254B11" w14:textId="77777777" w:rsidR="00A55175" w:rsidRDefault="00A55175" w:rsidP="00A55175">
      <w:pPr>
        <w:pStyle w:val="Title"/>
        <w:jc w:val="both"/>
      </w:pPr>
      <w:r w:rsidRPr="00C3382A">
        <w:lastRenderedPageBreak/>
        <w:t>Data Definition of DataStream</w:t>
      </w:r>
      <w:r>
        <w:t xml:space="preserve"> Data</w:t>
      </w:r>
      <w:r w:rsidRPr="00C3382A">
        <w:t xml:space="preserve">: </w:t>
      </w:r>
    </w:p>
    <w:p w14:paraId="6DBDB8B8" w14:textId="56A92FF1" w:rsidR="00A55175" w:rsidRPr="00883E37" w:rsidRDefault="00A55175" w:rsidP="00A55175">
      <w:pPr>
        <w:pStyle w:val="Subtitle"/>
      </w:pPr>
      <w:r>
        <w:t xml:space="preserve">Daily Return (in 1 year prior) – </w:t>
      </w:r>
      <w:r>
        <w:t>Risk-free Index</w:t>
      </w:r>
    </w:p>
    <w:p w14:paraId="22645A44" w14:textId="77777777" w:rsidR="00A55175" w:rsidRDefault="00A55175" w:rsidP="00A55175"/>
    <w:p w14:paraId="7EE79A12" w14:textId="77777777" w:rsidR="00A55175" w:rsidRDefault="00A55175" w:rsidP="00A55175">
      <w:r w:rsidRPr="005F3D74">
        <w:rPr>
          <w:rStyle w:val="IntenseReference"/>
        </w:rPr>
        <w:t>Variables that use this data</w:t>
      </w:r>
      <w:r>
        <w:t xml:space="preserve">: </w:t>
      </w:r>
    </w:p>
    <w:p w14:paraId="160EADA9" w14:textId="77777777" w:rsidR="00A55175" w:rsidRDefault="00A55175" w:rsidP="00A55175">
      <w:pPr>
        <w:rPr>
          <w:rStyle w:val="Strong"/>
          <w:b w:val="0"/>
          <w:bCs w:val="0"/>
        </w:rPr>
      </w:pPr>
      <w:commentRangeStart w:id="5"/>
      <w:r>
        <w:rPr>
          <w:rStyle w:val="Strong"/>
          <w:b w:val="0"/>
          <w:bCs w:val="0"/>
        </w:rPr>
        <w:t xml:space="preserve">From these daily returns, weekly aggregates have been calculated and these have been used for variables indicated with an </w:t>
      </w:r>
      <w:proofErr w:type="spellStart"/>
      <w:r>
        <w:rPr>
          <w:rStyle w:val="Strong"/>
          <w:b w:val="0"/>
          <w:bCs w:val="0"/>
        </w:rPr>
        <w:t>asterix</w:t>
      </w:r>
      <w:proofErr w:type="spellEnd"/>
      <w:r>
        <w:rPr>
          <w:rStyle w:val="Strong"/>
          <w:b w:val="0"/>
          <w:bCs w:val="0"/>
        </w:rPr>
        <w:t xml:space="preserve">. </w:t>
      </w:r>
      <w:commentRangeEnd w:id="5"/>
      <w:r>
        <w:rPr>
          <w:rStyle w:val="CommentReference"/>
        </w:rPr>
        <w:commentReference w:id="5"/>
      </w:r>
    </w:p>
    <w:p w14:paraId="4C28EF74" w14:textId="77777777" w:rsidR="00A55175" w:rsidRDefault="00A55175" w:rsidP="00A55175">
      <w:r>
        <w:t>For Index:</w:t>
      </w:r>
    </w:p>
    <w:p w14:paraId="597724C8" w14:textId="3D3068F4" w:rsidR="00A55175" w:rsidRPr="00EF0A2F" w:rsidRDefault="00A55175" w:rsidP="00A55175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Comove as an Unexplained Return Premium, Robustness Tests,</w:t>
      </w:r>
      <w:r>
        <w:rPr>
          <w:rStyle w:val="Strong"/>
          <w:b w:val="0"/>
          <w:bCs w:val="0"/>
        </w:rPr>
        <w:t xml:space="preserve"> Alternative Factor Measures</w:t>
      </w:r>
      <w:r>
        <w:rPr>
          <w:rStyle w:val="Strong"/>
          <w:b w:val="0"/>
          <w:bCs w:val="0"/>
        </w:rPr>
        <w:t xml:space="preserve">: </w:t>
      </w:r>
      <w:r>
        <w:rPr>
          <w:rStyle w:val="Strong"/>
          <w:b w:val="0"/>
          <w:bCs w:val="0"/>
        </w:rPr>
        <w:t>Market Premium</w:t>
      </w:r>
      <w:r>
        <w:rPr>
          <w:rStyle w:val="Strong"/>
          <w:b w:val="0"/>
          <w:bCs w:val="0"/>
        </w:rPr>
        <w:t xml:space="preserve">. </w:t>
      </w:r>
    </w:p>
    <w:p w14:paraId="4ACAFF39" w14:textId="77777777" w:rsidR="00A55175" w:rsidRDefault="00A55175" w:rsidP="00A55175">
      <w:pPr>
        <w:rPr>
          <w:rStyle w:val="IntenseReference"/>
        </w:rPr>
      </w:pPr>
    </w:p>
    <w:p w14:paraId="68ADFD21" w14:textId="77777777" w:rsidR="00A55175" w:rsidRPr="00C3382A" w:rsidRDefault="00A55175" w:rsidP="00A55175">
      <w:r w:rsidRPr="005F3D74">
        <w:rPr>
          <w:rStyle w:val="IntenseReference"/>
        </w:rPr>
        <w:t>Datatype</w:t>
      </w:r>
      <w:r w:rsidRPr="00C3382A">
        <w:t>:</w:t>
      </w:r>
      <w:r>
        <w:t xml:space="preserve"> X(RI)~E</w:t>
      </w:r>
    </w:p>
    <w:p w14:paraId="75D4C981" w14:textId="77777777" w:rsidR="00A55175" w:rsidRDefault="00A55175" w:rsidP="00A55175">
      <w:pPr>
        <w:jc w:val="both"/>
        <w:rPr>
          <w:rStyle w:val="IntenseReference"/>
        </w:rPr>
      </w:pPr>
      <w:r w:rsidRPr="006D360C">
        <w:rPr>
          <w:rStyle w:val="IntenseReference"/>
        </w:rPr>
        <w:t xml:space="preserve">Command: </w:t>
      </w:r>
      <w:r>
        <w:rPr>
          <w:rStyle w:val="IntenseReference"/>
        </w:rPr>
        <w:t xml:space="preserve"> </w:t>
      </w:r>
    </w:p>
    <w:p w14:paraId="334D56B3" w14:textId="1823FED6" w:rsidR="00A55175" w:rsidRPr="00A55175" w:rsidRDefault="00A55175" w:rsidP="00A55175">
      <w:pPr>
        <w:rPr>
          <w:rStyle w:val="Strong"/>
          <w:b w:val="0"/>
          <w:bCs w:val="0"/>
          <w:smallCaps/>
        </w:rPr>
      </w:pPr>
      <w:r w:rsidRPr="00A55175">
        <w:rPr>
          <w:rStyle w:val="Strong"/>
          <w:b w:val="0"/>
          <w:bCs w:val="0"/>
          <w:smallCaps/>
        </w:rPr>
        <w:t xml:space="preserve">Because of the replacement of the EONIA by the Euro Short-term rate, two different indexes were employed. </w:t>
      </w:r>
    </w:p>
    <w:p w14:paraId="5667F85C" w14:textId="77777777" w:rsidR="00A55175" w:rsidRDefault="00A55175" w:rsidP="00A55175">
      <w:pPr>
        <w:jc w:val="both"/>
      </w:pPr>
      <w:r>
        <w:t xml:space="preserve">For Index: </w:t>
      </w:r>
    </w:p>
    <w:p w14:paraId="6031A728" w14:textId="34985F1A" w:rsidR="00A55175" w:rsidRDefault="00A55175" w:rsidP="00A55175">
      <w:pPr>
        <w:jc w:val="both"/>
      </w:pPr>
      <w:r w:rsidRPr="00A55175">
        <w:t>DSGRID("DJES50I";"RI";"2000-12-01";"31-10-2019";"D";"RowHeader=true;ColHeader=true;Heading=true;Curn=true;DispSeriesDescription=true;YearlyTSFormat=false;QuarterlyTSFormat=false;MonthlyTSFormat=False";"")</w:t>
      </w:r>
    </w:p>
    <w:p w14:paraId="7F4356FD" w14:textId="778B6997" w:rsidR="00A55175" w:rsidRPr="00FD3A2C" w:rsidRDefault="00A55175" w:rsidP="00A55175">
      <w:pPr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t xml:space="preserve">= </w:t>
      </w:r>
      <w:r w:rsidRPr="00A55175">
        <w:t>DSGRID("EUROSTR";"RI";"2019-11-01";"2024-03-31";"D";"RowHeader=true;ColHeader=true;Heading=true;Curn=true;DispSeriesDescription=true;YearlyTSFormat=false;QuarterlyTSFormat=false;MonthlyTSFormat=False";"")</w:t>
      </w:r>
    </w:p>
    <w:p w14:paraId="556D354D" w14:textId="77777777" w:rsidR="00A55175" w:rsidRDefault="00A55175" w:rsidP="00A55175"/>
    <w:p w14:paraId="59A29B85" w14:textId="77777777" w:rsidR="00A55175" w:rsidRDefault="00A55175" w:rsidP="00A55175">
      <w:pPr>
        <w:jc w:val="both"/>
      </w:pPr>
      <w:r w:rsidRPr="00136141">
        <w:rPr>
          <w:rStyle w:val="IntenseReference"/>
        </w:rPr>
        <w:t>Definition</w:t>
      </w:r>
      <w:r>
        <w:t>: This is the theoretical absolute growth in value of a share holding over that day, assuming that dividends are re-invested to purchase additional unites of the stock at the closing price applicable on the ex-dividend date.</w:t>
      </w:r>
      <w:r w:rsidRPr="006D360C">
        <w:t xml:space="preserve"> </w:t>
      </w:r>
      <w:r>
        <w:t>Note that these “prices” are converted to euro.</w:t>
      </w:r>
    </w:p>
    <w:p w14:paraId="4E352145" w14:textId="77777777" w:rsidR="00A55175" w:rsidRPr="000348C8" w:rsidRDefault="00A55175" w:rsidP="00A55175"/>
    <w:p w14:paraId="674A39BE" w14:textId="77777777" w:rsidR="00A55175" w:rsidRDefault="00A55175" w:rsidP="00A55175">
      <w:r w:rsidRPr="00372830">
        <w:rPr>
          <w:noProof/>
        </w:rPr>
        <w:lastRenderedPageBreak/>
        <w:drawing>
          <wp:inline distT="0" distB="0" distL="0" distR="0" wp14:anchorId="0A843AC2" wp14:editId="0DCEE12C">
            <wp:extent cx="5731510" cy="566166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1A86" w14:textId="77777777" w:rsidR="00A55175" w:rsidRDefault="00A55175" w:rsidP="00A55175">
      <w:pPr>
        <w:rPr>
          <w:rStyle w:val="IntenseEmphasis"/>
        </w:rPr>
      </w:pPr>
    </w:p>
    <w:p w14:paraId="653D5768" w14:textId="36060C38" w:rsidR="008C18AA" w:rsidRPr="00107021" w:rsidRDefault="008C18A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D4F2D4F" w14:textId="77777777" w:rsidR="008C18AA" w:rsidRDefault="008C18AA" w:rsidP="008C18AA">
      <w:pPr>
        <w:pStyle w:val="Title"/>
        <w:jc w:val="both"/>
      </w:pPr>
      <w:r w:rsidRPr="00C3382A">
        <w:lastRenderedPageBreak/>
        <w:t>Data Definition of DataStream</w:t>
      </w:r>
      <w:r>
        <w:t xml:space="preserve"> Data</w:t>
      </w:r>
      <w:r w:rsidRPr="00C3382A">
        <w:t xml:space="preserve">: </w:t>
      </w:r>
    </w:p>
    <w:p w14:paraId="618A2B8E" w14:textId="4C63BA9F" w:rsidR="008C18AA" w:rsidRPr="00883E37" w:rsidRDefault="008C18AA" w:rsidP="008C18AA">
      <w:pPr>
        <w:pStyle w:val="Subtitle"/>
      </w:pPr>
      <w:commentRangeStart w:id="6"/>
      <w:commentRangeStart w:id="7"/>
      <w:r>
        <w:t>Daily Return (in 1 year prior) – Amsterdam Exchange Stocks and Index</w:t>
      </w:r>
      <w:commentRangeEnd w:id="6"/>
      <w:r>
        <w:rPr>
          <w:rStyle w:val="CommentReference"/>
          <w:rFonts w:eastAsiaTheme="minorHAnsi"/>
          <w:color w:val="auto"/>
          <w:spacing w:val="0"/>
        </w:rPr>
        <w:commentReference w:id="6"/>
      </w:r>
      <w:commentRangeEnd w:id="7"/>
      <w:r>
        <w:rPr>
          <w:rStyle w:val="CommentReference"/>
          <w:rFonts w:eastAsiaTheme="minorHAnsi"/>
          <w:color w:val="auto"/>
          <w:spacing w:val="0"/>
        </w:rPr>
        <w:commentReference w:id="7"/>
      </w:r>
    </w:p>
    <w:p w14:paraId="0CB5CA2B" w14:textId="77777777" w:rsidR="008C18AA" w:rsidRDefault="008C18AA" w:rsidP="008C18AA"/>
    <w:p w14:paraId="35199675" w14:textId="77777777" w:rsidR="008C18AA" w:rsidRDefault="008C18AA" w:rsidP="008C18AA">
      <w:r w:rsidRPr="005F3D74">
        <w:rPr>
          <w:rStyle w:val="IntenseReference"/>
        </w:rPr>
        <w:t>Variables that use this data</w:t>
      </w:r>
      <w:r>
        <w:t xml:space="preserve">: </w:t>
      </w:r>
    </w:p>
    <w:p w14:paraId="31ADE13E" w14:textId="77777777" w:rsidR="008C18AA" w:rsidRDefault="008C18AA" w:rsidP="008C18AA">
      <w:pPr>
        <w:rPr>
          <w:rStyle w:val="Strong"/>
          <w:b w:val="0"/>
          <w:bCs w:val="0"/>
        </w:rPr>
      </w:pPr>
      <w:commentRangeStart w:id="8"/>
      <w:r>
        <w:rPr>
          <w:rStyle w:val="Strong"/>
          <w:b w:val="0"/>
          <w:bCs w:val="0"/>
        </w:rPr>
        <w:t xml:space="preserve">From these daily returns, weekly aggregates have been calculated and these have been used for variables indicated with an </w:t>
      </w:r>
      <w:proofErr w:type="spellStart"/>
      <w:r>
        <w:rPr>
          <w:rStyle w:val="Strong"/>
          <w:b w:val="0"/>
          <w:bCs w:val="0"/>
        </w:rPr>
        <w:t>asterix</w:t>
      </w:r>
      <w:proofErr w:type="spellEnd"/>
      <w:r>
        <w:rPr>
          <w:rStyle w:val="Strong"/>
          <w:b w:val="0"/>
          <w:bCs w:val="0"/>
        </w:rPr>
        <w:t xml:space="preserve">. </w:t>
      </w:r>
      <w:commentRangeEnd w:id="8"/>
      <w:r>
        <w:rPr>
          <w:rStyle w:val="CommentReference"/>
        </w:rPr>
        <w:commentReference w:id="8"/>
      </w:r>
    </w:p>
    <w:p w14:paraId="76A6E016" w14:textId="77777777" w:rsidR="008C18AA" w:rsidRDefault="008C18AA" w:rsidP="008C18AA">
      <w:r>
        <w:t>For Index:</w:t>
      </w:r>
    </w:p>
    <w:p w14:paraId="55F31FD3" w14:textId="5B2A7922" w:rsidR="008C18AA" w:rsidRDefault="008C18AA" w:rsidP="008C18AA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Comove as an Unexplained Return Premium, Robustness Tests, Alternative Indexes: Comove*, and Beta.</w:t>
      </w:r>
    </w:p>
    <w:p w14:paraId="7BA8FB9D" w14:textId="77777777" w:rsidR="008C18AA" w:rsidRPr="00D76C68" w:rsidRDefault="008C18AA" w:rsidP="008C18AA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For Stocks:</w:t>
      </w:r>
    </w:p>
    <w:p w14:paraId="65697B46" w14:textId="5F9B5C03" w:rsidR="008C18AA" w:rsidRDefault="008C18AA" w:rsidP="008C18AA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Comove as an Unexplained Return Premium, Robustness Tests, Alternative Indexes: Comove*, Beta and Return.</w:t>
      </w:r>
    </w:p>
    <w:p w14:paraId="3FE82974" w14:textId="6625D061" w:rsidR="008C18AA" w:rsidRDefault="008C18AA" w:rsidP="008C18AA">
      <w:pPr>
        <w:rPr>
          <w:rStyle w:val="IntenseReference"/>
        </w:rPr>
      </w:pPr>
    </w:p>
    <w:p w14:paraId="488B1AE9" w14:textId="77777777" w:rsidR="008C18AA" w:rsidRPr="00C3382A" w:rsidRDefault="008C18AA" w:rsidP="008C18AA">
      <w:r w:rsidRPr="005F3D74">
        <w:rPr>
          <w:rStyle w:val="IntenseReference"/>
        </w:rPr>
        <w:t>Datatype</w:t>
      </w:r>
      <w:r w:rsidRPr="00C3382A">
        <w:t>:</w:t>
      </w:r>
      <w:r>
        <w:t xml:space="preserve"> X(RI)~E</w:t>
      </w:r>
    </w:p>
    <w:p w14:paraId="1B943955" w14:textId="77777777" w:rsidR="008C18AA" w:rsidRDefault="008C18AA" w:rsidP="008C18AA">
      <w:pPr>
        <w:jc w:val="both"/>
        <w:rPr>
          <w:rStyle w:val="IntenseReference"/>
        </w:rPr>
      </w:pPr>
      <w:r w:rsidRPr="006D360C">
        <w:rPr>
          <w:rStyle w:val="IntenseReference"/>
        </w:rPr>
        <w:t xml:space="preserve">Command: </w:t>
      </w:r>
      <w:r>
        <w:rPr>
          <w:rStyle w:val="IntenseReference"/>
        </w:rPr>
        <w:t xml:space="preserve"> </w:t>
      </w:r>
    </w:p>
    <w:p w14:paraId="20683FCE" w14:textId="4BFF0434" w:rsidR="008C18AA" w:rsidRPr="00FD3A2C" w:rsidRDefault="008C18AA" w:rsidP="008C18AA">
      <w:pPr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t xml:space="preserve">For Index: = </w:t>
      </w:r>
      <w:r w:rsidRPr="008771B5">
        <w:t>DSGRID("</w:t>
      </w:r>
      <w:r w:rsidR="00876CA5">
        <w:t>AMSTEOE</w:t>
      </w:r>
      <w:r w:rsidRPr="008771B5">
        <w:t>";"RI";"</w:t>
      </w:r>
      <w:r w:rsidR="00876CA5">
        <w:t>31</w:t>
      </w:r>
      <w:r w:rsidRPr="008771B5">
        <w:t>-0</w:t>
      </w:r>
      <w:r w:rsidR="00876CA5">
        <w:t>3</w:t>
      </w:r>
      <w:r w:rsidRPr="008771B5">
        <w:t>-</w:t>
      </w:r>
      <w:r w:rsidR="00876CA5">
        <w:t>2001</w:t>
      </w:r>
      <w:r w:rsidRPr="008771B5">
        <w:t>";"202</w:t>
      </w:r>
      <w:r w:rsidR="00876CA5">
        <w:t>2</w:t>
      </w:r>
      <w:r w:rsidRPr="008771B5">
        <w:t>-</w:t>
      </w:r>
      <w:r w:rsidR="00876CA5">
        <w:t>12</w:t>
      </w:r>
      <w:r w:rsidRPr="008771B5">
        <w:t>-31";"</w:t>
      </w:r>
      <w:r>
        <w:t>D</w:t>
      </w:r>
      <w:r w:rsidRPr="008771B5">
        <w:t>;"RowHeader=true;ColHeader=true;Heading=true;Curn=true;DispSeriesDescription=true;YearlyTSFormat=false;QuarterlyTSFormat=false;MonthlyTSFormat=False";"")</w:t>
      </w:r>
    </w:p>
    <w:p w14:paraId="5A649814" w14:textId="25D6593C" w:rsidR="008C18AA" w:rsidRDefault="008C18AA" w:rsidP="008C18AA">
      <w:pPr>
        <w:jc w:val="both"/>
      </w:pPr>
      <w:r w:rsidRPr="00FD3A2C">
        <w:t>For Stocks:</w:t>
      </w:r>
      <w:r>
        <w:rPr>
          <w:rStyle w:val="IntenseReference"/>
        </w:rPr>
        <w:t xml:space="preserve"> </w:t>
      </w:r>
      <w:r w:rsidRPr="000348C8">
        <w:t>= DSGRID.(“L</w:t>
      </w:r>
      <w:r w:rsidR="00876CA5">
        <w:t>AMSTEOE</w:t>
      </w:r>
      <w:r w:rsidRPr="000348C8">
        <w:rPr>
          <w:rStyle w:val="IntenseEmphasis"/>
        </w:rPr>
        <w:t>MMYY</w:t>
      </w:r>
      <w:r w:rsidRPr="000348C8">
        <w:t>”, “</w:t>
      </w:r>
      <w:r>
        <w:t>X(RI)~E</w:t>
      </w:r>
      <w:r w:rsidRPr="000348C8">
        <w:t>”, “</w:t>
      </w:r>
      <w:proofErr w:type="spellStart"/>
      <w:r w:rsidRPr="000348C8">
        <w:rPr>
          <w:rStyle w:val="IntenseEmphasis"/>
        </w:rPr>
        <w:t>start</w:t>
      </w:r>
      <w:r>
        <w:rPr>
          <w:rStyle w:val="IntenseEmphasis"/>
        </w:rPr>
        <w:t>D</w:t>
      </w:r>
      <w:r w:rsidRPr="000348C8">
        <w:rPr>
          <w:rStyle w:val="IntenseEmphasis"/>
        </w:rPr>
        <w:t>ate</w:t>
      </w:r>
      <w:proofErr w:type="spellEnd"/>
      <w:r w:rsidRPr="000348C8">
        <w:t>”, “</w:t>
      </w:r>
      <w:proofErr w:type="spellStart"/>
      <w:r w:rsidRPr="000348C8">
        <w:rPr>
          <w:rStyle w:val="IntenseEmphasis"/>
        </w:rPr>
        <w:t>end</w:t>
      </w:r>
      <w:r>
        <w:rPr>
          <w:rStyle w:val="IntenseEmphasis"/>
        </w:rPr>
        <w:t>Da</w:t>
      </w:r>
      <w:r w:rsidRPr="000348C8">
        <w:rPr>
          <w:rStyle w:val="IntenseEmphasis"/>
        </w:rPr>
        <w:t>te</w:t>
      </w:r>
      <w:proofErr w:type="spellEnd"/>
      <w:r w:rsidRPr="000348C8">
        <w:t>”, “</w:t>
      </w:r>
      <w:r>
        <w:t>D</w:t>
      </w:r>
      <w:r w:rsidRPr="000348C8">
        <w:t>”</w:t>
      </w:r>
      <w:r>
        <w:t xml:space="preserve">, </w:t>
      </w:r>
      <w:r w:rsidRPr="000348C8">
        <w:t xml:space="preserve"> "RowHeader=true;TimeSeriesList=true;ColHeader=true;Transpose=true;DispSeriesDescription=false;YearlyTSFormat=false;QuarterlyTSFormat=false;Clearself=y;MonthlyTSFormat=True</w:t>
      </w:r>
      <w:r>
        <w:t>”)</w:t>
      </w:r>
    </w:p>
    <w:p w14:paraId="602B13BA" w14:textId="6D39411B" w:rsidR="008C18AA" w:rsidRDefault="008C18AA" w:rsidP="008C18AA">
      <w:pPr>
        <w:pStyle w:val="ListParagraph"/>
        <w:numPr>
          <w:ilvl w:val="0"/>
          <w:numId w:val="2"/>
        </w:numPr>
      </w:pPr>
      <w:r>
        <w:t xml:space="preserve">With </w:t>
      </w:r>
      <w:r w:rsidRPr="00E378D1">
        <w:rPr>
          <w:rStyle w:val="IntenseEmphasis"/>
        </w:rPr>
        <w:t>MMYY</w:t>
      </w:r>
      <w:r>
        <w:t xml:space="preserve"> the first month of each quarter, with the months ranging from 0</w:t>
      </w:r>
      <w:r w:rsidR="00876CA5">
        <w:t>4</w:t>
      </w:r>
      <w:r>
        <w:t xml:space="preserve">02 until </w:t>
      </w:r>
      <w:r w:rsidR="00876CA5">
        <w:t>10</w:t>
      </w:r>
      <w:r>
        <w:t>2</w:t>
      </w:r>
      <w:r w:rsidR="00876CA5">
        <w:t>2</w:t>
      </w:r>
      <w:r>
        <w:t xml:space="preserve">. </w:t>
      </w:r>
    </w:p>
    <w:p w14:paraId="6FA0A5F4" w14:textId="77777777" w:rsidR="008C18AA" w:rsidRPr="000348C8" w:rsidRDefault="008C18AA" w:rsidP="008C18AA">
      <w:pPr>
        <w:pStyle w:val="ListParagraph"/>
        <w:numPr>
          <w:ilvl w:val="0"/>
          <w:numId w:val="2"/>
        </w:numPr>
        <w:jc w:val="both"/>
      </w:pPr>
      <w:r>
        <w:t xml:space="preserve">With </w:t>
      </w:r>
      <w:proofErr w:type="spellStart"/>
      <w:r w:rsidRPr="00E378D1">
        <w:rPr>
          <w:rStyle w:val="IntenseEmphasis"/>
        </w:rPr>
        <w:t>start</w:t>
      </w:r>
      <w:r>
        <w:rPr>
          <w:rStyle w:val="IntenseEmphasis"/>
        </w:rPr>
        <w:t>D</w:t>
      </w:r>
      <w:r w:rsidRPr="00E378D1">
        <w:rPr>
          <w:rStyle w:val="IntenseEmphasis"/>
        </w:rPr>
        <w:t>ate</w:t>
      </w:r>
      <w:proofErr w:type="spellEnd"/>
      <w:r>
        <w:t xml:space="preserve"> and </w:t>
      </w:r>
      <w:proofErr w:type="spellStart"/>
      <w:r w:rsidRPr="00E378D1">
        <w:rPr>
          <w:rStyle w:val="IntenseEmphasis"/>
        </w:rPr>
        <w:t>end</w:t>
      </w:r>
      <w:r>
        <w:rPr>
          <w:rStyle w:val="IntenseEmphasis"/>
        </w:rPr>
        <w:t>D</w:t>
      </w:r>
      <w:r w:rsidRPr="00E378D1">
        <w:rPr>
          <w:rStyle w:val="IntenseEmphasis"/>
        </w:rPr>
        <w:t>ate</w:t>
      </w:r>
      <w:proofErr w:type="spellEnd"/>
      <w:r>
        <w:t xml:space="preserve"> in YYYY-MM-DD format; </w:t>
      </w:r>
      <w:proofErr w:type="spellStart"/>
      <w:r w:rsidRPr="00E378D1">
        <w:rPr>
          <w:rStyle w:val="IntenseEmphasis"/>
        </w:rPr>
        <w:t>startDate</w:t>
      </w:r>
      <w:proofErr w:type="spellEnd"/>
      <w:r>
        <w:t xml:space="preserve"> the first day of the year prior to MMYY and </w:t>
      </w:r>
      <w:proofErr w:type="spellStart"/>
      <w:r w:rsidRPr="00E378D1">
        <w:rPr>
          <w:rStyle w:val="IntenseEmphasis"/>
        </w:rPr>
        <w:t>endDate</w:t>
      </w:r>
      <w:proofErr w:type="spellEnd"/>
      <w:r>
        <w:t xml:space="preserve"> the last day of two months after the MMYY. For example, for Jan 2002, 2001-01-01 and 2002-03-31.</w:t>
      </w:r>
    </w:p>
    <w:p w14:paraId="010B6440" w14:textId="77777777" w:rsidR="008C18AA" w:rsidRDefault="008C18AA" w:rsidP="008C18AA"/>
    <w:p w14:paraId="2D11A03A" w14:textId="77777777" w:rsidR="008C18AA" w:rsidRDefault="008C18AA" w:rsidP="008C18AA">
      <w:pPr>
        <w:jc w:val="both"/>
      </w:pPr>
      <w:r w:rsidRPr="00136141">
        <w:rPr>
          <w:rStyle w:val="IntenseReference"/>
        </w:rPr>
        <w:t>Definition</w:t>
      </w:r>
      <w:r>
        <w:t>: This is the theoretical absolute growth in value of a share holding over that day, assuming that dividends are re-invested to purchase additional unites of the stock at the closing price applicable on the ex-dividend date.</w:t>
      </w:r>
      <w:r w:rsidRPr="006D360C">
        <w:t xml:space="preserve"> </w:t>
      </w:r>
      <w:r>
        <w:t>Note that these “prices” are converted to euro.</w:t>
      </w:r>
    </w:p>
    <w:p w14:paraId="183C94A9" w14:textId="77777777" w:rsidR="008C18AA" w:rsidRPr="000348C8" w:rsidRDefault="008C18AA" w:rsidP="008C18AA"/>
    <w:p w14:paraId="671FD03A" w14:textId="77777777" w:rsidR="008C18AA" w:rsidRDefault="008C18AA" w:rsidP="008C18AA">
      <w:r w:rsidRPr="00372830">
        <w:rPr>
          <w:noProof/>
        </w:rPr>
        <w:lastRenderedPageBreak/>
        <w:drawing>
          <wp:inline distT="0" distB="0" distL="0" distR="0" wp14:anchorId="721199B1" wp14:editId="2842112A">
            <wp:extent cx="5731510" cy="5661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2570" w14:textId="77777777" w:rsidR="008C18AA" w:rsidRDefault="008C18AA" w:rsidP="008C18AA">
      <w:pPr>
        <w:rPr>
          <w:rStyle w:val="IntenseEmphasis"/>
        </w:rPr>
      </w:pPr>
    </w:p>
    <w:p w14:paraId="4A9D0C1C" w14:textId="77777777" w:rsidR="008C18AA" w:rsidRPr="00C3382A" w:rsidRDefault="008C18AA" w:rsidP="008C18AA">
      <w:pPr>
        <w:rPr>
          <w:rStyle w:val="IntenseEmphasis"/>
        </w:rPr>
      </w:pPr>
    </w:p>
    <w:p w14:paraId="05E66086" w14:textId="77777777" w:rsidR="008C18AA" w:rsidRDefault="008C18AA" w:rsidP="008C18A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6F24999" w14:textId="77777777" w:rsidR="00107021" w:rsidRDefault="00107021" w:rsidP="00107021">
      <w:pPr>
        <w:pStyle w:val="Title"/>
        <w:jc w:val="both"/>
      </w:pPr>
      <w:r w:rsidRPr="00C3382A">
        <w:lastRenderedPageBreak/>
        <w:t>Data Definition of DataStream</w:t>
      </w:r>
      <w:r>
        <w:t xml:space="preserve"> Data</w:t>
      </w:r>
      <w:r w:rsidRPr="00C3382A">
        <w:t xml:space="preserve">: </w:t>
      </w:r>
    </w:p>
    <w:p w14:paraId="37FE4813" w14:textId="71021E4C" w:rsidR="00107021" w:rsidRPr="00883E37" w:rsidRDefault="00107021" w:rsidP="00107021">
      <w:pPr>
        <w:pStyle w:val="Subtitle"/>
      </w:pPr>
      <w:commentRangeStart w:id="9"/>
      <w:commentRangeStart w:id="10"/>
      <w:r>
        <w:t>Daily Return (in 1 year prior) –BEL 20 Stocks and Index</w:t>
      </w:r>
      <w:commentRangeEnd w:id="9"/>
      <w:r>
        <w:rPr>
          <w:rStyle w:val="CommentReference"/>
          <w:rFonts w:eastAsiaTheme="minorHAnsi"/>
          <w:color w:val="auto"/>
          <w:spacing w:val="0"/>
        </w:rPr>
        <w:commentReference w:id="9"/>
      </w:r>
      <w:commentRangeEnd w:id="10"/>
      <w:r>
        <w:rPr>
          <w:rStyle w:val="CommentReference"/>
          <w:rFonts w:eastAsiaTheme="minorHAnsi"/>
          <w:color w:val="auto"/>
          <w:spacing w:val="0"/>
        </w:rPr>
        <w:commentReference w:id="10"/>
      </w:r>
    </w:p>
    <w:p w14:paraId="311FE469" w14:textId="77777777" w:rsidR="00107021" w:rsidRDefault="00107021" w:rsidP="00107021"/>
    <w:p w14:paraId="2F8A4C03" w14:textId="77777777" w:rsidR="00107021" w:rsidRDefault="00107021" w:rsidP="00107021">
      <w:r w:rsidRPr="005F3D74">
        <w:rPr>
          <w:rStyle w:val="IntenseReference"/>
        </w:rPr>
        <w:t>Variables that use this data</w:t>
      </w:r>
      <w:r>
        <w:t xml:space="preserve">: </w:t>
      </w:r>
    </w:p>
    <w:p w14:paraId="6792EDF2" w14:textId="77777777" w:rsidR="00107021" w:rsidRDefault="00107021" w:rsidP="00107021">
      <w:pPr>
        <w:rPr>
          <w:rStyle w:val="Strong"/>
          <w:b w:val="0"/>
          <w:bCs w:val="0"/>
        </w:rPr>
      </w:pPr>
      <w:commentRangeStart w:id="11"/>
      <w:r>
        <w:rPr>
          <w:rStyle w:val="Strong"/>
          <w:b w:val="0"/>
          <w:bCs w:val="0"/>
        </w:rPr>
        <w:t xml:space="preserve">From these daily returns, weekly aggregates have been calculated and these have been used for variables indicated with an </w:t>
      </w:r>
      <w:proofErr w:type="spellStart"/>
      <w:r>
        <w:rPr>
          <w:rStyle w:val="Strong"/>
          <w:b w:val="0"/>
          <w:bCs w:val="0"/>
        </w:rPr>
        <w:t>asterix</w:t>
      </w:r>
      <w:proofErr w:type="spellEnd"/>
      <w:r>
        <w:rPr>
          <w:rStyle w:val="Strong"/>
          <w:b w:val="0"/>
          <w:bCs w:val="0"/>
        </w:rPr>
        <w:t xml:space="preserve">. </w:t>
      </w:r>
      <w:commentRangeEnd w:id="11"/>
      <w:r>
        <w:rPr>
          <w:rStyle w:val="CommentReference"/>
        </w:rPr>
        <w:commentReference w:id="11"/>
      </w:r>
    </w:p>
    <w:p w14:paraId="0ABF5B79" w14:textId="77777777" w:rsidR="00107021" w:rsidRDefault="00107021" w:rsidP="00107021">
      <w:r>
        <w:t>For Index:</w:t>
      </w:r>
    </w:p>
    <w:p w14:paraId="6A24DC6A" w14:textId="77777777" w:rsidR="00107021" w:rsidRDefault="00107021" w:rsidP="00107021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Comove as an Unexplained Return Premium, Robustness Tests, Alternative Indexes: Comove*, and Beta.</w:t>
      </w:r>
    </w:p>
    <w:p w14:paraId="2328B5D6" w14:textId="77777777" w:rsidR="00107021" w:rsidRPr="00D76C68" w:rsidRDefault="00107021" w:rsidP="00107021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For Stocks:</w:t>
      </w:r>
    </w:p>
    <w:p w14:paraId="6BD498B9" w14:textId="77777777" w:rsidR="00107021" w:rsidRDefault="00107021" w:rsidP="00107021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Comove as an Unexplained Return Premium, Robustness Tests, Alternative Indexes: Comove*, Beta and Return.</w:t>
      </w:r>
    </w:p>
    <w:p w14:paraId="55F3E412" w14:textId="77777777" w:rsidR="00107021" w:rsidRDefault="00107021" w:rsidP="00107021">
      <w:pPr>
        <w:rPr>
          <w:rStyle w:val="IntenseReference"/>
        </w:rPr>
      </w:pPr>
    </w:p>
    <w:p w14:paraId="088171EA" w14:textId="77777777" w:rsidR="00107021" w:rsidRPr="00C3382A" w:rsidRDefault="00107021" w:rsidP="00107021">
      <w:r w:rsidRPr="005F3D74">
        <w:rPr>
          <w:rStyle w:val="IntenseReference"/>
        </w:rPr>
        <w:t>Datatype</w:t>
      </w:r>
      <w:r w:rsidRPr="00C3382A">
        <w:t>:</w:t>
      </w:r>
      <w:r>
        <w:t xml:space="preserve"> X(RI)~E</w:t>
      </w:r>
    </w:p>
    <w:p w14:paraId="68FBDCA5" w14:textId="77777777" w:rsidR="00107021" w:rsidRDefault="00107021" w:rsidP="00107021">
      <w:pPr>
        <w:jc w:val="both"/>
        <w:rPr>
          <w:rStyle w:val="IntenseReference"/>
        </w:rPr>
      </w:pPr>
      <w:r w:rsidRPr="006D360C">
        <w:rPr>
          <w:rStyle w:val="IntenseReference"/>
        </w:rPr>
        <w:t xml:space="preserve">Command: </w:t>
      </w:r>
      <w:r>
        <w:rPr>
          <w:rStyle w:val="IntenseReference"/>
        </w:rPr>
        <w:t xml:space="preserve"> </w:t>
      </w:r>
    </w:p>
    <w:p w14:paraId="214CA074" w14:textId="70A894D9" w:rsidR="00107021" w:rsidRPr="00FD3A2C" w:rsidRDefault="00107021" w:rsidP="00107021">
      <w:pPr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t xml:space="preserve">For Index: = </w:t>
      </w:r>
      <w:r w:rsidRPr="008771B5">
        <w:t>DSGRID("</w:t>
      </w:r>
      <w:r>
        <w:t>BGBEL20</w:t>
      </w:r>
      <w:r w:rsidRPr="008771B5">
        <w:t>";"RI";"</w:t>
      </w:r>
      <w:r>
        <w:t>31</w:t>
      </w:r>
      <w:r w:rsidRPr="008771B5">
        <w:t>-0</w:t>
      </w:r>
      <w:r>
        <w:t>6</w:t>
      </w:r>
      <w:r w:rsidRPr="008771B5">
        <w:t>-</w:t>
      </w:r>
      <w:r>
        <w:t>2001</w:t>
      </w:r>
      <w:r w:rsidRPr="008771B5">
        <w:t>";"202</w:t>
      </w:r>
      <w:r>
        <w:t>2</w:t>
      </w:r>
      <w:r w:rsidRPr="008771B5">
        <w:t>-</w:t>
      </w:r>
      <w:r>
        <w:t>12</w:t>
      </w:r>
      <w:r w:rsidRPr="008771B5">
        <w:t>-31";"</w:t>
      </w:r>
      <w:r>
        <w:t>D</w:t>
      </w:r>
      <w:r w:rsidRPr="008771B5">
        <w:t>;"RowHeader=true;ColHeader=true;Heading=true;Curn=true;DispSeriesDescription=true;YearlyTSFormat=false;QuarterlyTSFormat=false;MonthlyTSFormat=False";"")</w:t>
      </w:r>
    </w:p>
    <w:p w14:paraId="13B434F2" w14:textId="6121F069" w:rsidR="00107021" w:rsidRDefault="00107021" w:rsidP="00107021">
      <w:pPr>
        <w:jc w:val="both"/>
      </w:pPr>
      <w:r w:rsidRPr="00FD3A2C">
        <w:t>For Stocks:</w:t>
      </w:r>
      <w:r>
        <w:rPr>
          <w:rStyle w:val="IntenseReference"/>
        </w:rPr>
        <w:t xml:space="preserve"> </w:t>
      </w:r>
      <w:r w:rsidRPr="000348C8">
        <w:t>= DSGRID.(“L</w:t>
      </w:r>
      <w:r>
        <w:t>BGBEL20</w:t>
      </w:r>
      <w:r w:rsidRPr="000348C8">
        <w:rPr>
          <w:rStyle w:val="IntenseEmphasis"/>
        </w:rPr>
        <w:t>MMYY</w:t>
      </w:r>
      <w:r w:rsidRPr="000348C8">
        <w:t>”, “</w:t>
      </w:r>
      <w:r>
        <w:t>X(RI)~E</w:t>
      </w:r>
      <w:r w:rsidRPr="000348C8">
        <w:t>”, “</w:t>
      </w:r>
      <w:proofErr w:type="spellStart"/>
      <w:r w:rsidRPr="000348C8">
        <w:rPr>
          <w:rStyle w:val="IntenseEmphasis"/>
        </w:rPr>
        <w:t>start</w:t>
      </w:r>
      <w:r>
        <w:rPr>
          <w:rStyle w:val="IntenseEmphasis"/>
        </w:rPr>
        <w:t>D</w:t>
      </w:r>
      <w:r w:rsidRPr="000348C8">
        <w:rPr>
          <w:rStyle w:val="IntenseEmphasis"/>
        </w:rPr>
        <w:t>ate</w:t>
      </w:r>
      <w:proofErr w:type="spellEnd"/>
      <w:r w:rsidRPr="000348C8">
        <w:t>”, “</w:t>
      </w:r>
      <w:proofErr w:type="spellStart"/>
      <w:r w:rsidRPr="000348C8">
        <w:rPr>
          <w:rStyle w:val="IntenseEmphasis"/>
        </w:rPr>
        <w:t>end</w:t>
      </w:r>
      <w:r>
        <w:rPr>
          <w:rStyle w:val="IntenseEmphasis"/>
        </w:rPr>
        <w:t>Da</w:t>
      </w:r>
      <w:r w:rsidRPr="000348C8">
        <w:rPr>
          <w:rStyle w:val="IntenseEmphasis"/>
        </w:rPr>
        <w:t>te</w:t>
      </w:r>
      <w:proofErr w:type="spellEnd"/>
      <w:r w:rsidRPr="000348C8">
        <w:t>”, “</w:t>
      </w:r>
      <w:r>
        <w:t>D</w:t>
      </w:r>
      <w:r w:rsidRPr="000348C8">
        <w:t>”</w:t>
      </w:r>
      <w:r>
        <w:t xml:space="preserve">, </w:t>
      </w:r>
      <w:r w:rsidRPr="000348C8">
        <w:t xml:space="preserve"> "RowHeader=true;TimeSeriesList=true;ColHeader=true;Transpose=true;DispSeriesDescription=false;YearlyTSFormat=false;QuarterlyTSFormat=false;Clearself=y;MonthlyTSFormat=True</w:t>
      </w:r>
      <w:r>
        <w:t>”)</w:t>
      </w:r>
    </w:p>
    <w:p w14:paraId="035FE13D" w14:textId="10ADFEC3" w:rsidR="00107021" w:rsidRDefault="00107021" w:rsidP="00107021">
      <w:pPr>
        <w:pStyle w:val="ListParagraph"/>
        <w:numPr>
          <w:ilvl w:val="0"/>
          <w:numId w:val="2"/>
        </w:numPr>
      </w:pPr>
      <w:r>
        <w:t xml:space="preserve">With </w:t>
      </w:r>
      <w:r w:rsidRPr="00E378D1">
        <w:rPr>
          <w:rStyle w:val="IntenseEmphasis"/>
        </w:rPr>
        <w:t>MMYY</w:t>
      </w:r>
      <w:r>
        <w:t xml:space="preserve"> the first month of each quarter, with the months ranging from 0702 until 1022. </w:t>
      </w:r>
    </w:p>
    <w:p w14:paraId="105092EA" w14:textId="77777777" w:rsidR="00107021" w:rsidRPr="000348C8" w:rsidRDefault="00107021" w:rsidP="00107021">
      <w:pPr>
        <w:pStyle w:val="ListParagraph"/>
        <w:numPr>
          <w:ilvl w:val="0"/>
          <w:numId w:val="2"/>
        </w:numPr>
        <w:jc w:val="both"/>
      </w:pPr>
      <w:r>
        <w:t xml:space="preserve">With </w:t>
      </w:r>
      <w:proofErr w:type="spellStart"/>
      <w:r w:rsidRPr="00E378D1">
        <w:rPr>
          <w:rStyle w:val="IntenseEmphasis"/>
        </w:rPr>
        <w:t>start</w:t>
      </w:r>
      <w:r>
        <w:rPr>
          <w:rStyle w:val="IntenseEmphasis"/>
        </w:rPr>
        <w:t>D</w:t>
      </w:r>
      <w:r w:rsidRPr="00E378D1">
        <w:rPr>
          <w:rStyle w:val="IntenseEmphasis"/>
        </w:rPr>
        <w:t>ate</w:t>
      </w:r>
      <w:proofErr w:type="spellEnd"/>
      <w:r>
        <w:t xml:space="preserve"> and </w:t>
      </w:r>
      <w:proofErr w:type="spellStart"/>
      <w:r w:rsidRPr="00E378D1">
        <w:rPr>
          <w:rStyle w:val="IntenseEmphasis"/>
        </w:rPr>
        <w:t>end</w:t>
      </w:r>
      <w:r>
        <w:rPr>
          <w:rStyle w:val="IntenseEmphasis"/>
        </w:rPr>
        <w:t>D</w:t>
      </w:r>
      <w:r w:rsidRPr="00E378D1">
        <w:rPr>
          <w:rStyle w:val="IntenseEmphasis"/>
        </w:rPr>
        <w:t>ate</w:t>
      </w:r>
      <w:proofErr w:type="spellEnd"/>
      <w:r>
        <w:t xml:space="preserve"> in YYYY-MM-DD format; </w:t>
      </w:r>
      <w:proofErr w:type="spellStart"/>
      <w:r w:rsidRPr="00E378D1">
        <w:rPr>
          <w:rStyle w:val="IntenseEmphasis"/>
        </w:rPr>
        <w:t>startDate</w:t>
      </w:r>
      <w:proofErr w:type="spellEnd"/>
      <w:r>
        <w:t xml:space="preserve"> the first day of the year prior to MMYY and </w:t>
      </w:r>
      <w:proofErr w:type="spellStart"/>
      <w:r w:rsidRPr="00E378D1">
        <w:rPr>
          <w:rStyle w:val="IntenseEmphasis"/>
        </w:rPr>
        <w:t>endDate</w:t>
      </w:r>
      <w:proofErr w:type="spellEnd"/>
      <w:r>
        <w:t xml:space="preserve"> the last day of two months after the MMYY. For example, for Jan 2002, 2001-01-01 and 2002-03-31.</w:t>
      </w:r>
    </w:p>
    <w:p w14:paraId="7E20E5DC" w14:textId="77777777" w:rsidR="00107021" w:rsidRDefault="00107021" w:rsidP="00107021"/>
    <w:p w14:paraId="4F1F145E" w14:textId="77777777" w:rsidR="00107021" w:rsidRDefault="00107021" w:rsidP="00107021">
      <w:pPr>
        <w:jc w:val="both"/>
      </w:pPr>
      <w:r w:rsidRPr="00136141">
        <w:rPr>
          <w:rStyle w:val="IntenseReference"/>
        </w:rPr>
        <w:t>Definition</w:t>
      </w:r>
      <w:r>
        <w:t>: This is the theoretical absolute growth in value of a share holding over that day, assuming that dividends are re-invested to purchase additional unites of the stock at the closing price applicable on the ex-dividend date.</w:t>
      </w:r>
      <w:r w:rsidRPr="006D360C">
        <w:t xml:space="preserve"> </w:t>
      </w:r>
      <w:r>
        <w:t>Note that these “prices” are converted to euro.</w:t>
      </w:r>
    </w:p>
    <w:p w14:paraId="765D4644" w14:textId="77777777" w:rsidR="00107021" w:rsidRPr="000348C8" w:rsidRDefault="00107021" w:rsidP="00107021"/>
    <w:p w14:paraId="735DA306" w14:textId="77777777" w:rsidR="00107021" w:rsidRDefault="00107021" w:rsidP="00107021">
      <w:r w:rsidRPr="00372830">
        <w:rPr>
          <w:noProof/>
        </w:rPr>
        <w:lastRenderedPageBreak/>
        <w:drawing>
          <wp:inline distT="0" distB="0" distL="0" distR="0" wp14:anchorId="6D1FB1B1" wp14:editId="73F0D094">
            <wp:extent cx="5731510" cy="56616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14FD" w14:textId="77777777" w:rsidR="00107021" w:rsidRDefault="00107021" w:rsidP="00107021">
      <w:pPr>
        <w:rPr>
          <w:rStyle w:val="IntenseEmphasis"/>
        </w:rPr>
      </w:pPr>
    </w:p>
    <w:p w14:paraId="50E618D5" w14:textId="77777777" w:rsidR="00107021" w:rsidRPr="00C3382A" w:rsidRDefault="00107021" w:rsidP="00107021">
      <w:pPr>
        <w:rPr>
          <w:rStyle w:val="IntenseEmphasis"/>
        </w:rPr>
      </w:pPr>
    </w:p>
    <w:p w14:paraId="33C6C694" w14:textId="77777777" w:rsidR="00107021" w:rsidRDefault="00107021">
      <w:r>
        <w:br w:type="page"/>
      </w:r>
    </w:p>
    <w:p w14:paraId="6BBCEAD0" w14:textId="77777777" w:rsidR="00107021" w:rsidRDefault="00107021" w:rsidP="00107021">
      <w:pPr>
        <w:pStyle w:val="Title"/>
        <w:jc w:val="both"/>
      </w:pPr>
      <w:r w:rsidRPr="00C3382A">
        <w:lastRenderedPageBreak/>
        <w:t>Data Definition of DataStream</w:t>
      </w:r>
      <w:r>
        <w:t xml:space="preserve"> Data</w:t>
      </w:r>
      <w:r w:rsidRPr="00C3382A">
        <w:t xml:space="preserve">: </w:t>
      </w:r>
    </w:p>
    <w:p w14:paraId="49891F9A" w14:textId="58153041" w:rsidR="00107021" w:rsidRPr="00883E37" w:rsidRDefault="00107021" w:rsidP="00107021">
      <w:pPr>
        <w:pStyle w:val="Subtitle"/>
      </w:pPr>
      <w:commentRangeStart w:id="12"/>
      <w:commentRangeStart w:id="13"/>
      <w:r>
        <w:t>Daily Return (in 1 year prior) – CAC 40 Stocks and Index</w:t>
      </w:r>
      <w:commentRangeEnd w:id="12"/>
      <w:r>
        <w:rPr>
          <w:rStyle w:val="CommentReference"/>
          <w:rFonts w:eastAsiaTheme="minorHAnsi"/>
          <w:color w:val="auto"/>
          <w:spacing w:val="0"/>
        </w:rPr>
        <w:commentReference w:id="12"/>
      </w:r>
      <w:commentRangeEnd w:id="13"/>
      <w:r>
        <w:rPr>
          <w:rStyle w:val="CommentReference"/>
          <w:rFonts w:eastAsiaTheme="minorHAnsi"/>
          <w:color w:val="auto"/>
          <w:spacing w:val="0"/>
        </w:rPr>
        <w:commentReference w:id="13"/>
      </w:r>
    </w:p>
    <w:p w14:paraId="2C8E4278" w14:textId="77777777" w:rsidR="00107021" w:rsidRDefault="00107021" w:rsidP="00107021"/>
    <w:p w14:paraId="6898C22B" w14:textId="77777777" w:rsidR="00107021" w:rsidRDefault="00107021" w:rsidP="00107021">
      <w:r w:rsidRPr="005F3D74">
        <w:rPr>
          <w:rStyle w:val="IntenseReference"/>
        </w:rPr>
        <w:t>Variables that use this data</w:t>
      </w:r>
      <w:r>
        <w:t xml:space="preserve">: </w:t>
      </w:r>
    </w:p>
    <w:p w14:paraId="475DDDE3" w14:textId="77777777" w:rsidR="00107021" w:rsidRDefault="00107021" w:rsidP="00107021">
      <w:pPr>
        <w:rPr>
          <w:rStyle w:val="Strong"/>
          <w:b w:val="0"/>
          <w:bCs w:val="0"/>
        </w:rPr>
      </w:pPr>
      <w:commentRangeStart w:id="14"/>
      <w:r>
        <w:rPr>
          <w:rStyle w:val="Strong"/>
          <w:b w:val="0"/>
          <w:bCs w:val="0"/>
        </w:rPr>
        <w:t xml:space="preserve">From these daily returns, weekly aggregates have been calculated and these have been used for variables indicated with an </w:t>
      </w:r>
      <w:proofErr w:type="spellStart"/>
      <w:r>
        <w:rPr>
          <w:rStyle w:val="Strong"/>
          <w:b w:val="0"/>
          <w:bCs w:val="0"/>
        </w:rPr>
        <w:t>asterix</w:t>
      </w:r>
      <w:proofErr w:type="spellEnd"/>
      <w:r>
        <w:rPr>
          <w:rStyle w:val="Strong"/>
          <w:b w:val="0"/>
          <w:bCs w:val="0"/>
        </w:rPr>
        <w:t xml:space="preserve">. </w:t>
      </w:r>
      <w:commentRangeEnd w:id="14"/>
      <w:r>
        <w:rPr>
          <w:rStyle w:val="CommentReference"/>
        </w:rPr>
        <w:commentReference w:id="14"/>
      </w:r>
    </w:p>
    <w:p w14:paraId="77162760" w14:textId="77777777" w:rsidR="00107021" w:rsidRDefault="00107021" w:rsidP="00107021">
      <w:r>
        <w:t>For Index:</w:t>
      </w:r>
    </w:p>
    <w:p w14:paraId="27F18CE1" w14:textId="77777777" w:rsidR="00107021" w:rsidRDefault="00107021" w:rsidP="00107021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Comove as an Unexplained Return Premium, Robustness Tests, Alternative Indexes: Comove*, and Beta.</w:t>
      </w:r>
    </w:p>
    <w:p w14:paraId="78B66914" w14:textId="77777777" w:rsidR="00107021" w:rsidRPr="00D76C68" w:rsidRDefault="00107021" w:rsidP="00107021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For Stocks:</w:t>
      </w:r>
    </w:p>
    <w:p w14:paraId="08EA2033" w14:textId="77777777" w:rsidR="00107021" w:rsidRDefault="00107021" w:rsidP="00107021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Comove as an Unexplained Return Premium, Robustness Tests, Alternative Indexes: Comove*, Beta and Return.</w:t>
      </w:r>
    </w:p>
    <w:p w14:paraId="18E208CA" w14:textId="77777777" w:rsidR="00107021" w:rsidRDefault="00107021" w:rsidP="00107021">
      <w:pPr>
        <w:rPr>
          <w:rStyle w:val="IntenseReference"/>
        </w:rPr>
      </w:pPr>
    </w:p>
    <w:p w14:paraId="3277F311" w14:textId="77777777" w:rsidR="00107021" w:rsidRPr="00C3382A" w:rsidRDefault="00107021" w:rsidP="00107021">
      <w:r w:rsidRPr="005F3D74">
        <w:rPr>
          <w:rStyle w:val="IntenseReference"/>
        </w:rPr>
        <w:t>Datatype</w:t>
      </w:r>
      <w:r w:rsidRPr="00C3382A">
        <w:t>:</w:t>
      </w:r>
      <w:r>
        <w:t xml:space="preserve"> X(RI)~E</w:t>
      </w:r>
    </w:p>
    <w:p w14:paraId="3EB4AA2B" w14:textId="77777777" w:rsidR="00107021" w:rsidRDefault="00107021" w:rsidP="00107021">
      <w:pPr>
        <w:jc w:val="both"/>
        <w:rPr>
          <w:rStyle w:val="IntenseReference"/>
        </w:rPr>
      </w:pPr>
      <w:r w:rsidRPr="006D360C">
        <w:rPr>
          <w:rStyle w:val="IntenseReference"/>
        </w:rPr>
        <w:t xml:space="preserve">Command: </w:t>
      </w:r>
      <w:r>
        <w:rPr>
          <w:rStyle w:val="IntenseReference"/>
        </w:rPr>
        <w:t xml:space="preserve"> </w:t>
      </w:r>
    </w:p>
    <w:p w14:paraId="33F1090A" w14:textId="3086B9B9" w:rsidR="00107021" w:rsidRPr="00FD3A2C" w:rsidRDefault="00107021" w:rsidP="00107021">
      <w:pPr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t xml:space="preserve">For Index: = </w:t>
      </w:r>
      <w:r w:rsidRPr="008771B5">
        <w:t>DSGRID("</w:t>
      </w:r>
      <w:r>
        <w:t>FRCAC40</w:t>
      </w:r>
      <w:r w:rsidRPr="008771B5">
        <w:t>";"RI";"</w:t>
      </w:r>
      <w:r>
        <w:t>31</w:t>
      </w:r>
      <w:r w:rsidRPr="008771B5">
        <w:t>-0</w:t>
      </w:r>
      <w:r>
        <w:t>6</w:t>
      </w:r>
      <w:r w:rsidRPr="008771B5">
        <w:t>-</w:t>
      </w:r>
      <w:r w:rsidR="0013162C">
        <w:t>1999</w:t>
      </w:r>
      <w:r w:rsidRPr="008771B5">
        <w:t>";"202</w:t>
      </w:r>
      <w:r>
        <w:t>2</w:t>
      </w:r>
      <w:r w:rsidRPr="008771B5">
        <w:t>-</w:t>
      </w:r>
      <w:r>
        <w:t>12</w:t>
      </w:r>
      <w:r w:rsidRPr="008771B5">
        <w:t>-31";"</w:t>
      </w:r>
      <w:r>
        <w:t>D</w:t>
      </w:r>
      <w:r w:rsidRPr="008771B5">
        <w:t>;"RowHeader=true;ColHeader=true;Heading=true;Curn=true;DispSeriesDescription=true;YearlyTSFormat=false;QuarterlyTSFormat=false;MonthlyTSFormat=False";"")</w:t>
      </w:r>
    </w:p>
    <w:p w14:paraId="40F4A12B" w14:textId="49B2B540" w:rsidR="00107021" w:rsidRDefault="00107021" w:rsidP="00107021">
      <w:pPr>
        <w:jc w:val="both"/>
      </w:pPr>
      <w:r w:rsidRPr="00FD3A2C">
        <w:t>For Stocks:</w:t>
      </w:r>
      <w:r>
        <w:rPr>
          <w:rStyle w:val="IntenseReference"/>
        </w:rPr>
        <w:t xml:space="preserve"> </w:t>
      </w:r>
      <w:r w:rsidRPr="000348C8">
        <w:t>= DSGRID.(“</w:t>
      </w:r>
      <w:r>
        <w:t>LFRCAC40</w:t>
      </w:r>
      <w:r w:rsidRPr="000348C8">
        <w:rPr>
          <w:rStyle w:val="IntenseEmphasis"/>
        </w:rPr>
        <w:t>MMYY</w:t>
      </w:r>
      <w:r w:rsidRPr="000348C8">
        <w:t>”, “</w:t>
      </w:r>
      <w:r>
        <w:t>X(RI)~E</w:t>
      </w:r>
      <w:r w:rsidRPr="000348C8">
        <w:t>”, “</w:t>
      </w:r>
      <w:proofErr w:type="spellStart"/>
      <w:r w:rsidRPr="000348C8">
        <w:rPr>
          <w:rStyle w:val="IntenseEmphasis"/>
        </w:rPr>
        <w:t>start</w:t>
      </w:r>
      <w:r>
        <w:rPr>
          <w:rStyle w:val="IntenseEmphasis"/>
        </w:rPr>
        <w:t>D</w:t>
      </w:r>
      <w:r w:rsidRPr="000348C8">
        <w:rPr>
          <w:rStyle w:val="IntenseEmphasis"/>
        </w:rPr>
        <w:t>ate</w:t>
      </w:r>
      <w:proofErr w:type="spellEnd"/>
      <w:r w:rsidRPr="000348C8">
        <w:t>”, “</w:t>
      </w:r>
      <w:proofErr w:type="spellStart"/>
      <w:r w:rsidRPr="000348C8">
        <w:rPr>
          <w:rStyle w:val="IntenseEmphasis"/>
        </w:rPr>
        <w:t>end</w:t>
      </w:r>
      <w:r>
        <w:rPr>
          <w:rStyle w:val="IntenseEmphasis"/>
        </w:rPr>
        <w:t>Da</w:t>
      </w:r>
      <w:r w:rsidRPr="000348C8">
        <w:rPr>
          <w:rStyle w:val="IntenseEmphasis"/>
        </w:rPr>
        <w:t>te</w:t>
      </w:r>
      <w:proofErr w:type="spellEnd"/>
      <w:r w:rsidRPr="000348C8">
        <w:t>”, “</w:t>
      </w:r>
      <w:r>
        <w:t>D</w:t>
      </w:r>
      <w:r w:rsidRPr="000348C8">
        <w:t>”</w:t>
      </w:r>
      <w:r>
        <w:t xml:space="preserve">, </w:t>
      </w:r>
      <w:r w:rsidRPr="000348C8">
        <w:t xml:space="preserve"> "RowHeader=true;TimeSeriesList=true;ColHeader=true;Transpose=true;DispSeriesDescription=false;YearlyTSFormat=false;QuarterlyTSFormat=false;Clearself=y;MonthlyTSFormat=True</w:t>
      </w:r>
      <w:r>
        <w:t>”)</w:t>
      </w:r>
    </w:p>
    <w:p w14:paraId="03D7D4FA" w14:textId="14C0F421" w:rsidR="00107021" w:rsidRDefault="00107021" w:rsidP="00107021">
      <w:pPr>
        <w:pStyle w:val="ListParagraph"/>
        <w:numPr>
          <w:ilvl w:val="0"/>
          <w:numId w:val="2"/>
        </w:numPr>
      </w:pPr>
      <w:r>
        <w:t xml:space="preserve">With </w:t>
      </w:r>
      <w:r w:rsidRPr="00E378D1">
        <w:rPr>
          <w:rStyle w:val="IntenseEmphasis"/>
        </w:rPr>
        <w:t>MMYY</w:t>
      </w:r>
      <w:r>
        <w:t xml:space="preserve"> the first month of each quarter, with the months ranging from 070</w:t>
      </w:r>
      <w:r w:rsidR="0013162C">
        <w:t>0</w:t>
      </w:r>
      <w:r>
        <w:t xml:space="preserve"> until 1022. </w:t>
      </w:r>
    </w:p>
    <w:p w14:paraId="0A1232F2" w14:textId="77777777" w:rsidR="00107021" w:rsidRPr="000348C8" w:rsidRDefault="00107021" w:rsidP="00107021">
      <w:pPr>
        <w:pStyle w:val="ListParagraph"/>
        <w:numPr>
          <w:ilvl w:val="0"/>
          <w:numId w:val="2"/>
        </w:numPr>
        <w:jc w:val="both"/>
      </w:pPr>
      <w:r>
        <w:t xml:space="preserve">With </w:t>
      </w:r>
      <w:proofErr w:type="spellStart"/>
      <w:r w:rsidRPr="00E378D1">
        <w:rPr>
          <w:rStyle w:val="IntenseEmphasis"/>
        </w:rPr>
        <w:t>start</w:t>
      </w:r>
      <w:r>
        <w:rPr>
          <w:rStyle w:val="IntenseEmphasis"/>
        </w:rPr>
        <w:t>D</w:t>
      </w:r>
      <w:r w:rsidRPr="00E378D1">
        <w:rPr>
          <w:rStyle w:val="IntenseEmphasis"/>
        </w:rPr>
        <w:t>ate</w:t>
      </w:r>
      <w:proofErr w:type="spellEnd"/>
      <w:r>
        <w:t xml:space="preserve"> and </w:t>
      </w:r>
      <w:proofErr w:type="spellStart"/>
      <w:r w:rsidRPr="00E378D1">
        <w:rPr>
          <w:rStyle w:val="IntenseEmphasis"/>
        </w:rPr>
        <w:t>end</w:t>
      </w:r>
      <w:r>
        <w:rPr>
          <w:rStyle w:val="IntenseEmphasis"/>
        </w:rPr>
        <w:t>D</w:t>
      </w:r>
      <w:r w:rsidRPr="00E378D1">
        <w:rPr>
          <w:rStyle w:val="IntenseEmphasis"/>
        </w:rPr>
        <w:t>ate</w:t>
      </w:r>
      <w:proofErr w:type="spellEnd"/>
      <w:r>
        <w:t xml:space="preserve"> in YYYY-MM-DD format; </w:t>
      </w:r>
      <w:proofErr w:type="spellStart"/>
      <w:r w:rsidRPr="00E378D1">
        <w:rPr>
          <w:rStyle w:val="IntenseEmphasis"/>
        </w:rPr>
        <w:t>startDate</w:t>
      </w:r>
      <w:proofErr w:type="spellEnd"/>
      <w:r>
        <w:t xml:space="preserve"> the first day of the year prior to MMYY and </w:t>
      </w:r>
      <w:proofErr w:type="spellStart"/>
      <w:r w:rsidRPr="00E378D1">
        <w:rPr>
          <w:rStyle w:val="IntenseEmphasis"/>
        </w:rPr>
        <w:t>endDate</w:t>
      </w:r>
      <w:proofErr w:type="spellEnd"/>
      <w:r>
        <w:t xml:space="preserve"> the last day of two months after the MMYY. For example, for Jan 2002, 2001-01-01 and 2002-03-31.</w:t>
      </w:r>
    </w:p>
    <w:p w14:paraId="77392343" w14:textId="77777777" w:rsidR="00107021" w:rsidRDefault="00107021" w:rsidP="00107021"/>
    <w:p w14:paraId="660AA7C4" w14:textId="77777777" w:rsidR="00107021" w:rsidRDefault="00107021" w:rsidP="00107021">
      <w:pPr>
        <w:jc w:val="both"/>
      </w:pPr>
      <w:r w:rsidRPr="00136141">
        <w:rPr>
          <w:rStyle w:val="IntenseReference"/>
        </w:rPr>
        <w:t>Definition</w:t>
      </w:r>
      <w:r>
        <w:t>: This is the theoretical absolute growth in value of a share holding over that day, assuming that dividends are re-invested to purchase additional unites of the stock at the closing price applicable on the ex-dividend date.</w:t>
      </w:r>
      <w:r w:rsidRPr="006D360C">
        <w:t xml:space="preserve"> </w:t>
      </w:r>
      <w:r>
        <w:t>Note that these “prices” are converted to euro.</w:t>
      </w:r>
    </w:p>
    <w:p w14:paraId="41D2EFBB" w14:textId="77777777" w:rsidR="00107021" w:rsidRPr="000348C8" w:rsidRDefault="00107021" w:rsidP="00107021"/>
    <w:p w14:paraId="5443B77E" w14:textId="77777777" w:rsidR="00107021" w:rsidRDefault="00107021" w:rsidP="00107021">
      <w:r w:rsidRPr="00372830">
        <w:rPr>
          <w:noProof/>
        </w:rPr>
        <w:lastRenderedPageBreak/>
        <w:drawing>
          <wp:inline distT="0" distB="0" distL="0" distR="0" wp14:anchorId="15DBEC99" wp14:editId="3110556B">
            <wp:extent cx="5731510" cy="56616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3F74" w14:textId="77777777" w:rsidR="00107021" w:rsidRDefault="00107021" w:rsidP="00107021">
      <w:pPr>
        <w:rPr>
          <w:rStyle w:val="IntenseEmphasis"/>
        </w:rPr>
      </w:pPr>
    </w:p>
    <w:p w14:paraId="5D062772" w14:textId="77777777" w:rsidR="00107021" w:rsidRPr="00C3382A" w:rsidRDefault="00107021" w:rsidP="00107021">
      <w:pPr>
        <w:rPr>
          <w:rStyle w:val="IntenseEmphasis"/>
        </w:rPr>
      </w:pPr>
    </w:p>
    <w:p w14:paraId="1188FC75" w14:textId="77777777" w:rsidR="0013162C" w:rsidRDefault="0013162C">
      <w:r>
        <w:br w:type="page"/>
      </w:r>
    </w:p>
    <w:p w14:paraId="4F49BCF7" w14:textId="77777777" w:rsidR="0013162C" w:rsidRDefault="0013162C" w:rsidP="0013162C">
      <w:pPr>
        <w:pStyle w:val="Title"/>
        <w:jc w:val="both"/>
      </w:pPr>
      <w:r w:rsidRPr="00C3382A">
        <w:lastRenderedPageBreak/>
        <w:t>Data Definition of DataStream</w:t>
      </w:r>
      <w:r>
        <w:t xml:space="preserve"> Data</w:t>
      </w:r>
      <w:r w:rsidRPr="00C3382A">
        <w:t xml:space="preserve">: </w:t>
      </w:r>
    </w:p>
    <w:p w14:paraId="5AE32CDD" w14:textId="6F894C03" w:rsidR="0013162C" w:rsidRPr="00883E37" w:rsidRDefault="0013162C" w:rsidP="0013162C">
      <w:pPr>
        <w:pStyle w:val="Subtitle"/>
      </w:pPr>
      <w:commentRangeStart w:id="15"/>
      <w:commentRangeStart w:id="16"/>
      <w:r>
        <w:t>Daily Return (in 1 year prior) – DAX Stocks and Index</w:t>
      </w:r>
      <w:commentRangeEnd w:id="15"/>
      <w:r>
        <w:rPr>
          <w:rStyle w:val="CommentReference"/>
          <w:rFonts w:eastAsiaTheme="minorHAnsi"/>
          <w:color w:val="auto"/>
          <w:spacing w:val="0"/>
        </w:rPr>
        <w:commentReference w:id="15"/>
      </w:r>
      <w:commentRangeEnd w:id="16"/>
      <w:r>
        <w:rPr>
          <w:rStyle w:val="CommentReference"/>
          <w:rFonts w:eastAsiaTheme="minorHAnsi"/>
          <w:color w:val="auto"/>
          <w:spacing w:val="0"/>
        </w:rPr>
        <w:commentReference w:id="16"/>
      </w:r>
    </w:p>
    <w:p w14:paraId="583D1205" w14:textId="77777777" w:rsidR="0013162C" w:rsidRDefault="0013162C" w:rsidP="0013162C"/>
    <w:p w14:paraId="39E92DB2" w14:textId="77777777" w:rsidR="0013162C" w:rsidRDefault="0013162C" w:rsidP="0013162C">
      <w:r w:rsidRPr="005F3D74">
        <w:rPr>
          <w:rStyle w:val="IntenseReference"/>
        </w:rPr>
        <w:t>Variables that use this data</w:t>
      </w:r>
      <w:r>
        <w:t xml:space="preserve">: </w:t>
      </w:r>
    </w:p>
    <w:p w14:paraId="418AE460" w14:textId="77777777" w:rsidR="0013162C" w:rsidRDefault="0013162C" w:rsidP="0013162C">
      <w:pPr>
        <w:rPr>
          <w:rStyle w:val="Strong"/>
          <w:b w:val="0"/>
          <w:bCs w:val="0"/>
        </w:rPr>
      </w:pPr>
      <w:commentRangeStart w:id="17"/>
      <w:r>
        <w:rPr>
          <w:rStyle w:val="Strong"/>
          <w:b w:val="0"/>
          <w:bCs w:val="0"/>
        </w:rPr>
        <w:t xml:space="preserve">From these daily returns, weekly aggregates have been calculated and these have been used for variables indicated with an </w:t>
      </w:r>
      <w:proofErr w:type="spellStart"/>
      <w:r>
        <w:rPr>
          <w:rStyle w:val="Strong"/>
          <w:b w:val="0"/>
          <w:bCs w:val="0"/>
        </w:rPr>
        <w:t>asterix</w:t>
      </w:r>
      <w:proofErr w:type="spellEnd"/>
      <w:r>
        <w:rPr>
          <w:rStyle w:val="Strong"/>
          <w:b w:val="0"/>
          <w:bCs w:val="0"/>
        </w:rPr>
        <w:t xml:space="preserve">. </w:t>
      </w:r>
      <w:commentRangeEnd w:id="17"/>
      <w:r>
        <w:rPr>
          <w:rStyle w:val="CommentReference"/>
        </w:rPr>
        <w:commentReference w:id="17"/>
      </w:r>
    </w:p>
    <w:p w14:paraId="08680122" w14:textId="77777777" w:rsidR="0013162C" w:rsidRDefault="0013162C" w:rsidP="0013162C">
      <w:r>
        <w:t>For Index:</w:t>
      </w:r>
    </w:p>
    <w:p w14:paraId="1900290E" w14:textId="77777777" w:rsidR="0013162C" w:rsidRDefault="0013162C" w:rsidP="0013162C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Comove as an Unexplained Return Premium, Robustness Tests, Alternative Indexes: Comove*, and Beta.</w:t>
      </w:r>
    </w:p>
    <w:p w14:paraId="3633BE4D" w14:textId="77777777" w:rsidR="0013162C" w:rsidRPr="00D76C68" w:rsidRDefault="0013162C" w:rsidP="0013162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For Stocks:</w:t>
      </w:r>
    </w:p>
    <w:p w14:paraId="7A185CFF" w14:textId="77777777" w:rsidR="0013162C" w:rsidRDefault="0013162C" w:rsidP="0013162C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Comove as an Unexplained Return Premium, Robustness Tests, Alternative Indexes: Comove*, Beta and Return.</w:t>
      </w:r>
    </w:p>
    <w:p w14:paraId="13B4985A" w14:textId="77777777" w:rsidR="0013162C" w:rsidRDefault="0013162C" w:rsidP="0013162C">
      <w:pPr>
        <w:rPr>
          <w:rStyle w:val="IntenseReference"/>
        </w:rPr>
      </w:pPr>
    </w:p>
    <w:p w14:paraId="124575F6" w14:textId="77777777" w:rsidR="0013162C" w:rsidRPr="00C3382A" w:rsidRDefault="0013162C" w:rsidP="0013162C">
      <w:r w:rsidRPr="005F3D74">
        <w:rPr>
          <w:rStyle w:val="IntenseReference"/>
        </w:rPr>
        <w:t>Datatype</w:t>
      </w:r>
      <w:r w:rsidRPr="00C3382A">
        <w:t>:</w:t>
      </w:r>
      <w:r>
        <w:t xml:space="preserve"> X(RI)~E</w:t>
      </w:r>
    </w:p>
    <w:p w14:paraId="0DCB19DD" w14:textId="77777777" w:rsidR="0013162C" w:rsidRDefault="0013162C" w:rsidP="0013162C">
      <w:pPr>
        <w:jc w:val="both"/>
        <w:rPr>
          <w:rStyle w:val="IntenseReference"/>
        </w:rPr>
      </w:pPr>
      <w:r w:rsidRPr="006D360C">
        <w:rPr>
          <w:rStyle w:val="IntenseReference"/>
        </w:rPr>
        <w:t xml:space="preserve">Command: </w:t>
      </w:r>
      <w:r>
        <w:rPr>
          <w:rStyle w:val="IntenseReference"/>
        </w:rPr>
        <w:t xml:space="preserve"> </w:t>
      </w:r>
    </w:p>
    <w:p w14:paraId="43ABEF4E" w14:textId="595878AB" w:rsidR="0013162C" w:rsidRPr="00FD3A2C" w:rsidRDefault="0013162C" w:rsidP="0013162C">
      <w:pPr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t xml:space="preserve">For Index: = </w:t>
      </w:r>
      <w:r w:rsidRPr="008771B5">
        <w:t>DSGRID("</w:t>
      </w:r>
      <w:r>
        <w:t>DAXINDX</w:t>
      </w:r>
      <w:r w:rsidRPr="008771B5">
        <w:t>";"RI";"</w:t>
      </w:r>
      <w:r>
        <w:t>31</w:t>
      </w:r>
      <w:r w:rsidRPr="008771B5">
        <w:t>-0</w:t>
      </w:r>
      <w:r>
        <w:t>6</w:t>
      </w:r>
      <w:r w:rsidRPr="008771B5">
        <w:t>-</w:t>
      </w:r>
      <w:r>
        <w:t>1999</w:t>
      </w:r>
      <w:r w:rsidRPr="008771B5">
        <w:t>";"202</w:t>
      </w:r>
      <w:r>
        <w:t>2</w:t>
      </w:r>
      <w:r w:rsidRPr="008771B5">
        <w:t>-</w:t>
      </w:r>
      <w:r>
        <w:t>12</w:t>
      </w:r>
      <w:r w:rsidRPr="008771B5">
        <w:t>-31";"</w:t>
      </w:r>
      <w:r>
        <w:t>D</w:t>
      </w:r>
      <w:r w:rsidRPr="008771B5">
        <w:t>;"RowHeader=true;ColHeader=true;Heading=true;Curn=true;DispSeriesDescription=true;YearlyTSFormat=false;QuarterlyTSFormat=false;MonthlyTSFormat=False";"")</w:t>
      </w:r>
    </w:p>
    <w:p w14:paraId="360849C5" w14:textId="5F9F29CC" w:rsidR="0013162C" w:rsidRDefault="0013162C" w:rsidP="0013162C">
      <w:pPr>
        <w:jc w:val="both"/>
      </w:pPr>
      <w:r w:rsidRPr="00FD3A2C">
        <w:t>For Stocks:</w:t>
      </w:r>
      <w:r>
        <w:rPr>
          <w:rStyle w:val="IntenseReference"/>
        </w:rPr>
        <w:t xml:space="preserve"> </w:t>
      </w:r>
      <w:r w:rsidRPr="000348C8">
        <w:t>= DSGRID.(“</w:t>
      </w:r>
      <w:r>
        <w:t>LDAXINDX</w:t>
      </w:r>
      <w:r w:rsidRPr="000348C8">
        <w:rPr>
          <w:rStyle w:val="IntenseEmphasis"/>
        </w:rPr>
        <w:t>MMYY</w:t>
      </w:r>
      <w:r w:rsidRPr="000348C8">
        <w:t>”, “</w:t>
      </w:r>
      <w:r>
        <w:t>X(RI)~E</w:t>
      </w:r>
      <w:r w:rsidRPr="000348C8">
        <w:t>”, “</w:t>
      </w:r>
      <w:proofErr w:type="spellStart"/>
      <w:r w:rsidRPr="000348C8">
        <w:rPr>
          <w:rStyle w:val="IntenseEmphasis"/>
        </w:rPr>
        <w:t>start</w:t>
      </w:r>
      <w:r>
        <w:rPr>
          <w:rStyle w:val="IntenseEmphasis"/>
        </w:rPr>
        <w:t>D</w:t>
      </w:r>
      <w:r w:rsidRPr="000348C8">
        <w:rPr>
          <w:rStyle w:val="IntenseEmphasis"/>
        </w:rPr>
        <w:t>ate</w:t>
      </w:r>
      <w:proofErr w:type="spellEnd"/>
      <w:r w:rsidRPr="000348C8">
        <w:t>”, “</w:t>
      </w:r>
      <w:proofErr w:type="spellStart"/>
      <w:r w:rsidRPr="000348C8">
        <w:rPr>
          <w:rStyle w:val="IntenseEmphasis"/>
        </w:rPr>
        <w:t>end</w:t>
      </w:r>
      <w:r>
        <w:rPr>
          <w:rStyle w:val="IntenseEmphasis"/>
        </w:rPr>
        <w:t>Da</w:t>
      </w:r>
      <w:r w:rsidRPr="000348C8">
        <w:rPr>
          <w:rStyle w:val="IntenseEmphasis"/>
        </w:rPr>
        <w:t>te</w:t>
      </w:r>
      <w:proofErr w:type="spellEnd"/>
      <w:r w:rsidRPr="000348C8">
        <w:t>”, “</w:t>
      </w:r>
      <w:r>
        <w:t>D</w:t>
      </w:r>
      <w:r w:rsidRPr="000348C8">
        <w:t>”</w:t>
      </w:r>
      <w:r>
        <w:t xml:space="preserve">, </w:t>
      </w:r>
      <w:r w:rsidRPr="000348C8">
        <w:t xml:space="preserve"> "RowHeader=true;TimeSeriesList=true;ColHeader=true;Transpose=true;DispSeriesDescription=false;YearlyTSFormat=false;QuarterlyTSFormat=false;Clearself=y;MonthlyTSFormat=True</w:t>
      </w:r>
      <w:r>
        <w:t>”)</w:t>
      </w:r>
    </w:p>
    <w:p w14:paraId="7702DA83" w14:textId="77777777" w:rsidR="0013162C" w:rsidRDefault="0013162C" w:rsidP="0013162C">
      <w:pPr>
        <w:pStyle w:val="ListParagraph"/>
        <w:numPr>
          <w:ilvl w:val="0"/>
          <w:numId w:val="2"/>
        </w:numPr>
      </w:pPr>
      <w:r>
        <w:t xml:space="preserve">With </w:t>
      </w:r>
      <w:r w:rsidRPr="00E378D1">
        <w:rPr>
          <w:rStyle w:val="IntenseEmphasis"/>
        </w:rPr>
        <w:t>MMYY</w:t>
      </w:r>
      <w:r>
        <w:t xml:space="preserve"> the first month of each quarter, with the months ranging from 0700 until 1022. </w:t>
      </w:r>
    </w:p>
    <w:p w14:paraId="4385CC86" w14:textId="77777777" w:rsidR="0013162C" w:rsidRPr="000348C8" w:rsidRDefault="0013162C" w:rsidP="0013162C">
      <w:pPr>
        <w:pStyle w:val="ListParagraph"/>
        <w:numPr>
          <w:ilvl w:val="0"/>
          <w:numId w:val="2"/>
        </w:numPr>
        <w:jc w:val="both"/>
      </w:pPr>
      <w:r>
        <w:t xml:space="preserve">With </w:t>
      </w:r>
      <w:proofErr w:type="spellStart"/>
      <w:r w:rsidRPr="00E378D1">
        <w:rPr>
          <w:rStyle w:val="IntenseEmphasis"/>
        </w:rPr>
        <w:t>start</w:t>
      </w:r>
      <w:r>
        <w:rPr>
          <w:rStyle w:val="IntenseEmphasis"/>
        </w:rPr>
        <w:t>D</w:t>
      </w:r>
      <w:r w:rsidRPr="00E378D1">
        <w:rPr>
          <w:rStyle w:val="IntenseEmphasis"/>
        </w:rPr>
        <w:t>ate</w:t>
      </w:r>
      <w:proofErr w:type="spellEnd"/>
      <w:r>
        <w:t xml:space="preserve"> and </w:t>
      </w:r>
      <w:proofErr w:type="spellStart"/>
      <w:r w:rsidRPr="00E378D1">
        <w:rPr>
          <w:rStyle w:val="IntenseEmphasis"/>
        </w:rPr>
        <w:t>end</w:t>
      </w:r>
      <w:r>
        <w:rPr>
          <w:rStyle w:val="IntenseEmphasis"/>
        </w:rPr>
        <w:t>D</w:t>
      </w:r>
      <w:r w:rsidRPr="00E378D1">
        <w:rPr>
          <w:rStyle w:val="IntenseEmphasis"/>
        </w:rPr>
        <w:t>ate</w:t>
      </w:r>
      <w:proofErr w:type="spellEnd"/>
      <w:r>
        <w:t xml:space="preserve"> in YYYY-MM-DD format; </w:t>
      </w:r>
      <w:proofErr w:type="spellStart"/>
      <w:r w:rsidRPr="00E378D1">
        <w:rPr>
          <w:rStyle w:val="IntenseEmphasis"/>
        </w:rPr>
        <w:t>startDate</w:t>
      </w:r>
      <w:proofErr w:type="spellEnd"/>
      <w:r>
        <w:t xml:space="preserve"> the first day of the year prior to MMYY and </w:t>
      </w:r>
      <w:proofErr w:type="spellStart"/>
      <w:r w:rsidRPr="00E378D1">
        <w:rPr>
          <w:rStyle w:val="IntenseEmphasis"/>
        </w:rPr>
        <w:t>endDate</w:t>
      </w:r>
      <w:proofErr w:type="spellEnd"/>
      <w:r>
        <w:t xml:space="preserve"> the last day of two months after the MMYY. For example, for Jan 2002, 2001-01-01 and 2002-03-31.</w:t>
      </w:r>
    </w:p>
    <w:p w14:paraId="7F04111C" w14:textId="77777777" w:rsidR="0013162C" w:rsidRDefault="0013162C" w:rsidP="0013162C"/>
    <w:p w14:paraId="5A11569B" w14:textId="77777777" w:rsidR="0013162C" w:rsidRDefault="0013162C" w:rsidP="0013162C">
      <w:pPr>
        <w:jc w:val="both"/>
      </w:pPr>
      <w:r w:rsidRPr="00136141">
        <w:rPr>
          <w:rStyle w:val="IntenseReference"/>
        </w:rPr>
        <w:t>Definition</w:t>
      </w:r>
      <w:r>
        <w:t>: This is the theoretical absolute growth in value of a share holding over that day, assuming that dividends are re-invested to purchase additional unites of the stock at the closing price applicable on the ex-dividend date.</w:t>
      </w:r>
      <w:r w:rsidRPr="006D360C">
        <w:t xml:space="preserve"> </w:t>
      </w:r>
      <w:r>
        <w:t>Note that these “prices” are converted to euro.</w:t>
      </w:r>
    </w:p>
    <w:p w14:paraId="663466D3" w14:textId="77777777" w:rsidR="0013162C" w:rsidRPr="000348C8" w:rsidRDefault="0013162C" w:rsidP="0013162C"/>
    <w:p w14:paraId="0359A9C9" w14:textId="77777777" w:rsidR="0013162C" w:rsidRDefault="0013162C" w:rsidP="0013162C">
      <w:r w:rsidRPr="00372830">
        <w:rPr>
          <w:noProof/>
        </w:rPr>
        <w:lastRenderedPageBreak/>
        <w:drawing>
          <wp:inline distT="0" distB="0" distL="0" distR="0" wp14:anchorId="72340C5C" wp14:editId="51CB1896">
            <wp:extent cx="5731510" cy="56616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4489" w14:textId="77777777" w:rsidR="0013162C" w:rsidRDefault="0013162C" w:rsidP="0013162C">
      <w:pPr>
        <w:rPr>
          <w:rStyle w:val="IntenseEmphasis"/>
        </w:rPr>
      </w:pPr>
    </w:p>
    <w:p w14:paraId="40F8FE4E" w14:textId="4A0BE982" w:rsidR="0013162C" w:rsidRDefault="0013162C">
      <w:pPr>
        <w:rPr>
          <w:rStyle w:val="IntenseEmphasis"/>
        </w:rPr>
      </w:pPr>
      <w:r>
        <w:rPr>
          <w:rStyle w:val="IntenseEmphasis"/>
        </w:rPr>
        <w:br w:type="page"/>
      </w:r>
    </w:p>
    <w:p w14:paraId="289B09AA" w14:textId="77777777" w:rsidR="0013162C" w:rsidRDefault="0013162C" w:rsidP="0013162C">
      <w:pPr>
        <w:pStyle w:val="Title"/>
        <w:jc w:val="both"/>
      </w:pPr>
      <w:r w:rsidRPr="00C3382A">
        <w:lastRenderedPageBreak/>
        <w:t>Data Definition of DataStream</w:t>
      </w:r>
      <w:r>
        <w:t xml:space="preserve"> Data</w:t>
      </w:r>
      <w:r w:rsidRPr="00C3382A">
        <w:t xml:space="preserve">: </w:t>
      </w:r>
    </w:p>
    <w:p w14:paraId="5ECE9633" w14:textId="200597F9" w:rsidR="0013162C" w:rsidRPr="00883E37" w:rsidRDefault="0013162C" w:rsidP="0013162C">
      <w:pPr>
        <w:pStyle w:val="Subtitle"/>
      </w:pPr>
      <w:commentRangeStart w:id="18"/>
      <w:commentRangeStart w:id="19"/>
      <w:r>
        <w:t>Daily Return (in 1 year prior) –OMX Stocks and Index</w:t>
      </w:r>
      <w:commentRangeEnd w:id="18"/>
      <w:r>
        <w:rPr>
          <w:rStyle w:val="CommentReference"/>
          <w:rFonts w:eastAsiaTheme="minorHAnsi"/>
          <w:color w:val="auto"/>
          <w:spacing w:val="0"/>
        </w:rPr>
        <w:commentReference w:id="18"/>
      </w:r>
      <w:commentRangeEnd w:id="19"/>
      <w:r>
        <w:rPr>
          <w:rStyle w:val="CommentReference"/>
          <w:rFonts w:eastAsiaTheme="minorHAnsi"/>
          <w:color w:val="auto"/>
          <w:spacing w:val="0"/>
        </w:rPr>
        <w:commentReference w:id="19"/>
      </w:r>
    </w:p>
    <w:p w14:paraId="3664FB65" w14:textId="77777777" w:rsidR="0013162C" w:rsidRDefault="0013162C" w:rsidP="0013162C"/>
    <w:p w14:paraId="5B0D1580" w14:textId="77777777" w:rsidR="0013162C" w:rsidRDefault="0013162C" w:rsidP="0013162C">
      <w:r w:rsidRPr="005F3D74">
        <w:rPr>
          <w:rStyle w:val="IntenseReference"/>
        </w:rPr>
        <w:t>Variables that use this data</w:t>
      </w:r>
      <w:r>
        <w:t xml:space="preserve">: </w:t>
      </w:r>
    </w:p>
    <w:p w14:paraId="1FFEB81A" w14:textId="77777777" w:rsidR="0013162C" w:rsidRDefault="0013162C" w:rsidP="0013162C">
      <w:pPr>
        <w:rPr>
          <w:rStyle w:val="Strong"/>
          <w:b w:val="0"/>
          <w:bCs w:val="0"/>
        </w:rPr>
      </w:pPr>
      <w:commentRangeStart w:id="20"/>
      <w:r>
        <w:rPr>
          <w:rStyle w:val="Strong"/>
          <w:b w:val="0"/>
          <w:bCs w:val="0"/>
        </w:rPr>
        <w:t xml:space="preserve">From these daily returns, weekly aggregates have been calculated and these have been used for variables indicated with an </w:t>
      </w:r>
      <w:proofErr w:type="spellStart"/>
      <w:r>
        <w:rPr>
          <w:rStyle w:val="Strong"/>
          <w:b w:val="0"/>
          <w:bCs w:val="0"/>
        </w:rPr>
        <w:t>asterix</w:t>
      </w:r>
      <w:proofErr w:type="spellEnd"/>
      <w:r>
        <w:rPr>
          <w:rStyle w:val="Strong"/>
          <w:b w:val="0"/>
          <w:bCs w:val="0"/>
        </w:rPr>
        <w:t xml:space="preserve">. </w:t>
      </w:r>
      <w:commentRangeEnd w:id="20"/>
      <w:r>
        <w:rPr>
          <w:rStyle w:val="CommentReference"/>
        </w:rPr>
        <w:commentReference w:id="20"/>
      </w:r>
    </w:p>
    <w:p w14:paraId="09E986CE" w14:textId="77777777" w:rsidR="0013162C" w:rsidRDefault="0013162C" w:rsidP="0013162C">
      <w:r>
        <w:t>For Index:</w:t>
      </w:r>
    </w:p>
    <w:p w14:paraId="5EE539A4" w14:textId="77777777" w:rsidR="0013162C" w:rsidRDefault="0013162C" w:rsidP="0013162C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Comove as an Unexplained Return Premium, Robustness Tests, Alternative Indexes: Comove*, and Beta.</w:t>
      </w:r>
    </w:p>
    <w:p w14:paraId="1AE13A3F" w14:textId="77777777" w:rsidR="0013162C" w:rsidRPr="00D76C68" w:rsidRDefault="0013162C" w:rsidP="0013162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For Stocks:</w:t>
      </w:r>
    </w:p>
    <w:p w14:paraId="4D844B6B" w14:textId="77777777" w:rsidR="0013162C" w:rsidRDefault="0013162C" w:rsidP="0013162C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Comove as an Unexplained Return Premium, Robustness Tests, Alternative Indexes: Comove*, Beta and Return.</w:t>
      </w:r>
    </w:p>
    <w:p w14:paraId="674E1B1D" w14:textId="77777777" w:rsidR="0013162C" w:rsidRDefault="0013162C" w:rsidP="0013162C">
      <w:pPr>
        <w:rPr>
          <w:rStyle w:val="IntenseReference"/>
        </w:rPr>
      </w:pPr>
    </w:p>
    <w:p w14:paraId="3A73202C" w14:textId="77777777" w:rsidR="0013162C" w:rsidRPr="00C3382A" w:rsidRDefault="0013162C" w:rsidP="0013162C">
      <w:r w:rsidRPr="005F3D74">
        <w:rPr>
          <w:rStyle w:val="IntenseReference"/>
        </w:rPr>
        <w:t>Datatype</w:t>
      </w:r>
      <w:r w:rsidRPr="00C3382A">
        <w:t>:</w:t>
      </w:r>
      <w:r>
        <w:t xml:space="preserve"> X(RI)~E</w:t>
      </w:r>
    </w:p>
    <w:p w14:paraId="6DA5FC64" w14:textId="77777777" w:rsidR="0013162C" w:rsidRDefault="0013162C" w:rsidP="0013162C">
      <w:pPr>
        <w:jc w:val="both"/>
        <w:rPr>
          <w:rStyle w:val="IntenseReference"/>
        </w:rPr>
      </w:pPr>
      <w:r w:rsidRPr="006D360C">
        <w:rPr>
          <w:rStyle w:val="IntenseReference"/>
        </w:rPr>
        <w:t xml:space="preserve">Command: </w:t>
      </w:r>
      <w:r>
        <w:rPr>
          <w:rStyle w:val="IntenseReference"/>
        </w:rPr>
        <w:t xml:space="preserve"> </w:t>
      </w:r>
    </w:p>
    <w:p w14:paraId="13D08250" w14:textId="045C5CF0" w:rsidR="0013162C" w:rsidRPr="00FD3A2C" w:rsidRDefault="0013162C" w:rsidP="0013162C">
      <w:pPr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t xml:space="preserve">For Index: = </w:t>
      </w:r>
      <w:r w:rsidRPr="008771B5">
        <w:t>DSGRID("</w:t>
      </w:r>
      <w:r w:rsidR="009F3074">
        <w:t>SWEDOMX</w:t>
      </w:r>
      <w:r w:rsidRPr="008771B5">
        <w:t>";"RI";"</w:t>
      </w:r>
      <w:r>
        <w:t>31</w:t>
      </w:r>
      <w:r w:rsidRPr="008771B5">
        <w:t>-0</w:t>
      </w:r>
      <w:r>
        <w:t>6</w:t>
      </w:r>
      <w:r w:rsidRPr="008771B5">
        <w:t>-</w:t>
      </w:r>
      <w:r w:rsidR="009F3074">
        <w:t>2003</w:t>
      </w:r>
      <w:r w:rsidRPr="008771B5">
        <w:t>";"202</w:t>
      </w:r>
      <w:r>
        <w:t>2</w:t>
      </w:r>
      <w:r w:rsidRPr="008771B5">
        <w:t>-</w:t>
      </w:r>
      <w:r>
        <w:t>12</w:t>
      </w:r>
      <w:r w:rsidRPr="008771B5">
        <w:t>-31";"</w:t>
      </w:r>
      <w:r>
        <w:t>D</w:t>
      </w:r>
      <w:r w:rsidRPr="008771B5">
        <w:t>;"RowHeader=true;ColHeader=true;Heading=true;Curn=true;DispSeriesDescription=true;YearlyTSFormat=false;QuarterlyTSFormat=false;MonthlyTSFormat=False";"")</w:t>
      </w:r>
    </w:p>
    <w:p w14:paraId="412405D0" w14:textId="5F89F1DD" w:rsidR="0013162C" w:rsidRDefault="0013162C" w:rsidP="0013162C">
      <w:pPr>
        <w:jc w:val="both"/>
      </w:pPr>
      <w:r w:rsidRPr="00FD3A2C">
        <w:t>For Stocks:</w:t>
      </w:r>
      <w:r>
        <w:rPr>
          <w:rStyle w:val="IntenseReference"/>
        </w:rPr>
        <w:t xml:space="preserve"> </w:t>
      </w:r>
      <w:r w:rsidRPr="000348C8">
        <w:t>= DSGRID.(“</w:t>
      </w:r>
      <w:r>
        <w:t>L</w:t>
      </w:r>
      <w:r w:rsidR="009F3074">
        <w:t>SWEDOMX</w:t>
      </w:r>
      <w:r w:rsidRPr="000348C8">
        <w:rPr>
          <w:rStyle w:val="IntenseEmphasis"/>
        </w:rPr>
        <w:t>MMYY</w:t>
      </w:r>
      <w:r w:rsidRPr="000348C8">
        <w:t>”, “</w:t>
      </w:r>
      <w:r>
        <w:t>X(RI)~E</w:t>
      </w:r>
      <w:r w:rsidRPr="000348C8">
        <w:t>”, “</w:t>
      </w:r>
      <w:proofErr w:type="spellStart"/>
      <w:r w:rsidRPr="000348C8">
        <w:rPr>
          <w:rStyle w:val="IntenseEmphasis"/>
        </w:rPr>
        <w:t>start</w:t>
      </w:r>
      <w:r>
        <w:rPr>
          <w:rStyle w:val="IntenseEmphasis"/>
        </w:rPr>
        <w:t>D</w:t>
      </w:r>
      <w:r w:rsidRPr="000348C8">
        <w:rPr>
          <w:rStyle w:val="IntenseEmphasis"/>
        </w:rPr>
        <w:t>ate</w:t>
      </w:r>
      <w:proofErr w:type="spellEnd"/>
      <w:r w:rsidRPr="000348C8">
        <w:t>”, “</w:t>
      </w:r>
      <w:proofErr w:type="spellStart"/>
      <w:r w:rsidRPr="000348C8">
        <w:rPr>
          <w:rStyle w:val="IntenseEmphasis"/>
        </w:rPr>
        <w:t>end</w:t>
      </w:r>
      <w:r>
        <w:rPr>
          <w:rStyle w:val="IntenseEmphasis"/>
        </w:rPr>
        <w:t>Da</w:t>
      </w:r>
      <w:r w:rsidRPr="000348C8">
        <w:rPr>
          <w:rStyle w:val="IntenseEmphasis"/>
        </w:rPr>
        <w:t>te</w:t>
      </w:r>
      <w:proofErr w:type="spellEnd"/>
      <w:r w:rsidRPr="000348C8">
        <w:t>”, “</w:t>
      </w:r>
      <w:r>
        <w:t>D</w:t>
      </w:r>
      <w:r w:rsidRPr="000348C8">
        <w:t>”</w:t>
      </w:r>
      <w:r>
        <w:t xml:space="preserve">, </w:t>
      </w:r>
      <w:r w:rsidRPr="000348C8">
        <w:t xml:space="preserve"> "RowHeader=true;TimeSeriesList=true;ColHeader=true;Transpose=true;DispSeriesDescription=false;YearlyTSFormat=false;QuarterlyTSFormat=false;Clearself=y;MonthlyTSFormat=True</w:t>
      </w:r>
      <w:r>
        <w:t>”)</w:t>
      </w:r>
    </w:p>
    <w:p w14:paraId="1DFFD2BC" w14:textId="6B310F68" w:rsidR="0013162C" w:rsidRDefault="0013162C" w:rsidP="0013162C">
      <w:pPr>
        <w:pStyle w:val="ListParagraph"/>
        <w:numPr>
          <w:ilvl w:val="0"/>
          <w:numId w:val="2"/>
        </w:numPr>
      </w:pPr>
      <w:r>
        <w:t xml:space="preserve">With </w:t>
      </w:r>
      <w:r w:rsidRPr="00E378D1">
        <w:rPr>
          <w:rStyle w:val="IntenseEmphasis"/>
        </w:rPr>
        <w:t>MMYY</w:t>
      </w:r>
      <w:r>
        <w:t xml:space="preserve"> the first month of each quarter, with the months ranging from 070</w:t>
      </w:r>
      <w:r w:rsidR="009F3074">
        <w:t>4</w:t>
      </w:r>
      <w:r>
        <w:t xml:space="preserve"> until 1022. </w:t>
      </w:r>
    </w:p>
    <w:p w14:paraId="7A44256C" w14:textId="77777777" w:rsidR="0013162C" w:rsidRPr="000348C8" w:rsidRDefault="0013162C" w:rsidP="0013162C">
      <w:pPr>
        <w:pStyle w:val="ListParagraph"/>
        <w:numPr>
          <w:ilvl w:val="0"/>
          <w:numId w:val="2"/>
        </w:numPr>
        <w:jc w:val="both"/>
      </w:pPr>
      <w:r>
        <w:t xml:space="preserve">With </w:t>
      </w:r>
      <w:proofErr w:type="spellStart"/>
      <w:r w:rsidRPr="00E378D1">
        <w:rPr>
          <w:rStyle w:val="IntenseEmphasis"/>
        </w:rPr>
        <w:t>start</w:t>
      </w:r>
      <w:r>
        <w:rPr>
          <w:rStyle w:val="IntenseEmphasis"/>
        </w:rPr>
        <w:t>D</w:t>
      </w:r>
      <w:r w:rsidRPr="00E378D1">
        <w:rPr>
          <w:rStyle w:val="IntenseEmphasis"/>
        </w:rPr>
        <w:t>ate</w:t>
      </w:r>
      <w:proofErr w:type="spellEnd"/>
      <w:r>
        <w:t xml:space="preserve"> and </w:t>
      </w:r>
      <w:proofErr w:type="spellStart"/>
      <w:r w:rsidRPr="00E378D1">
        <w:rPr>
          <w:rStyle w:val="IntenseEmphasis"/>
        </w:rPr>
        <w:t>end</w:t>
      </w:r>
      <w:r>
        <w:rPr>
          <w:rStyle w:val="IntenseEmphasis"/>
        </w:rPr>
        <w:t>D</w:t>
      </w:r>
      <w:r w:rsidRPr="00E378D1">
        <w:rPr>
          <w:rStyle w:val="IntenseEmphasis"/>
        </w:rPr>
        <w:t>ate</w:t>
      </w:r>
      <w:proofErr w:type="spellEnd"/>
      <w:r>
        <w:t xml:space="preserve"> in YYYY-MM-DD format; </w:t>
      </w:r>
      <w:proofErr w:type="spellStart"/>
      <w:r w:rsidRPr="00E378D1">
        <w:rPr>
          <w:rStyle w:val="IntenseEmphasis"/>
        </w:rPr>
        <w:t>startDate</w:t>
      </w:r>
      <w:proofErr w:type="spellEnd"/>
      <w:r>
        <w:t xml:space="preserve"> the first day of the year prior to MMYY and </w:t>
      </w:r>
      <w:proofErr w:type="spellStart"/>
      <w:r w:rsidRPr="00E378D1">
        <w:rPr>
          <w:rStyle w:val="IntenseEmphasis"/>
        </w:rPr>
        <w:t>endDate</w:t>
      </w:r>
      <w:proofErr w:type="spellEnd"/>
      <w:r>
        <w:t xml:space="preserve"> the last day of two months after the MMYY. For example, for Jan 2002, 2001-01-01 and 2002-03-31.</w:t>
      </w:r>
    </w:p>
    <w:p w14:paraId="235CAA1B" w14:textId="77777777" w:rsidR="0013162C" w:rsidRDefault="0013162C" w:rsidP="0013162C"/>
    <w:p w14:paraId="34F689AD" w14:textId="77777777" w:rsidR="0013162C" w:rsidRDefault="0013162C" w:rsidP="0013162C">
      <w:pPr>
        <w:jc w:val="both"/>
      </w:pPr>
      <w:r w:rsidRPr="00136141">
        <w:rPr>
          <w:rStyle w:val="IntenseReference"/>
        </w:rPr>
        <w:t>Definition</w:t>
      </w:r>
      <w:r>
        <w:t>: This is the theoretical absolute growth in value of a share holding over that day, assuming that dividends are re-invested to purchase additional unites of the stock at the closing price applicable on the ex-dividend date.</w:t>
      </w:r>
      <w:r w:rsidRPr="006D360C">
        <w:t xml:space="preserve"> </w:t>
      </w:r>
      <w:r>
        <w:t>Note that these “prices” are converted to euro.</w:t>
      </w:r>
    </w:p>
    <w:p w14:paraId="710C90B4" w14:textId="77777777" w:rsidR="0013162C" w:rsidRPr="000348C8" w:rsidRDefault="0013162C" w:rsidP="0013162C"/>
    <w:p w14:paraId="0A1847F3" w14:textId="77777777" w:rsidR="0013162C" w:rsidRDefault="0013162C" w:rsidP="0013162C">
      <w:r w:rsidRPr="00372830">
        <w:rPr>
          <w:noProof/>
        </w:rPr>
        <w:lastRenderedPageBreak/>
        <w:drawing>
          <wp:inline distT="0" distB="0" distL="0" distR="0" wp14:anchorId="543E59E0" wp14:editId="770ACE4C">
            <wp:extent cx="5731510" cy="56616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E0CF" w14:textId="77777777" w:rsidR="0013162C" w:rsidRDefault="0013162C" w:rsidP="0013162C">
      <w:pPr>
        <w:rPr>
          <w:rStyle w:val="IntenseEmphasis"/>
        </w:rPr>
      </w:pPr>
    </w:p>
    <w:p w14:paraId="1799537F" w14:textId="77777777" w:rsidR="0013162C" w:rsidRPr="00C3382A" w:rsidRDefault="0013162C" w:rsidP="0013162C">
      <w:pPr>
        <w:rPr>
          <w:rStyle w:val="IntenseEmphasis"/>
        </w:rPr>
      </w:pPr>
    </w:p>
    <w:p w14:paraId="7024F0FF" w14:textId="77777777" w:rsidR="0013162C" w:rsidRDefault="0013162C" w:rsidP="0013162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57A12CF" w14:textId="77777777" w:rsidR="009F3074" w:rsidRDefault="009F3074" w:rsidP="009F3074">
      <w:pPr>
        <w:pStyle w:val="Title"/>
        <w:jc w:val="both"/>
      </w:pPr>
      <w:r w:rsidRPr="00C3382A">
        <w:lastRenderedPageBreak/>
        <w:t>Data Definition of DataStream</w:t>
      </w:r>
      <w:r>
        <w:t xml:space="preserve"> Data</w:t>
      </w:r>
      <w:r w:rsidRPr="00C3382A">
        <w:t xml:space="preserve">: </w:t>
      </w:r>
    </w:p>
    <w:p w14:paraId="573057E1" w14:textId="7D966CC4" w:rsidR="009F3074" w:rsidRPr="00883E37" w:rsidRDefault="009F3074" w:rsidP="009F3074">
      <w:pPr>
        <w:pStyle w:val="Subtitle"/>
      </w:pPr>
      <w:commentRangeStart w:id="21"/>
      <w:commentRangeStart w:id="22"/>
      <w:r>
        <w:t>Daily Return (in 1 year prior) –SMI Stocks and Index</w:t>
      </w:r>
      <w:commentRangeEnd w:id="21"/>
      <w:r>
        <w:rPr>
          <w:rStyle w:val="CommentReference"/>
          <w:rFonts w:eastAsiaTheme="minorHAnsi"/>
          <w:color w:val="auto"/>
          <w:spacing w:val="0"/>
        </w:rPr>
        <w:commentReference w:id="21"/>
      </w:r>
      <w:commentRangeEnd w:id="22"/>
      <w:r>
        <w:rPr>
          <w:rStyle w:val="CommentReference"/>
          <w:rFonts w:eastAsiaTheme="minorHAnsi"/>
          <w:color w:val="auto"/>
          <w:spacing w:val="0"/>
        </w:rPr>
        <w:commentReference w:id="22"/>
      </w:r>
    </w:p>
    <w:p w14:paraId="74A833EB" w14:textId="77777777" w:rsidR="009F3074" w:rsidRDefault="009F3074" w:rsidP="009F3074"/>
    <w:p w14:paraId="73DCAEC3" w14:textId="77777777" w:rsidR="009F3074" w:rsidRDefault="009F3074" w:rsidP="009F3074">
      <w:r w:rsidRPr="005F3D74">
        <w:rPr>
          <w:rStyle w:val="IntenseReference"/>
        </w:rPr>
        <w:t>Variables that use this data</w:t>
      </w:r>
      <w:r>
        <w:t xml:space="preserve">: </w:t>
      </w:r>
    </w:p>
    <w:p w14:paraId="74295A5C" w14:textId="77777777" w:rsidR="009F3074" w:rsidRDefault="009F3074" w:rsidP="009F3074">
      <w:pPr>
        <w:rPr>
          <w:rStyle w:val="Strong"/>
          <w:b w:val="0"/>
          <w:bCs w:val="0"/>
        </w:rPr>
      </w:pPr>
      <w:commentRangeStart w:id="23"/>
      <w:r>
        <w:rPr>
          <w:rStyle w:val="Strong"/>
          <w:b w:val="0"/>
          <w:bCs w:val="0"/>
        </w:rPr>
        <w:t xml:space="preserve">From these daily returns, weekly aggregates have been calculated and these have been used for variables indicated with an </w:t>
      </w:r>
      <w:proofErr w:type="spellStart"/>
      <w:r>
        <w:rPr>
          <w:rStyle w:val="Strong"/>
          <w:b w:val="0"/>
          <w:bCs w:val="0"/>
        </w:rPr>
        <w:t>asterix</w:t>
      </w:r>
      <w:proofErr w:type="spellEnd"/>
      <w:r>
        <w:rPr>
          <w:rStyle w:val="Strong"/>
          <w:b w:val="0"/>
          <w:bCs w:val="0"/>
        </w:rPr>
        <w:t xml:space="preserve">. </w:t>
      </w:r>
      <w:commentRangeEnd w:id="23"/>
      <w:r>
        <w:rPr>
          <w:rStyle w:val="CommentReference"/>
        </w:rPr>
        <w:commentReference w:id="23"/>
      </w:r>
    </w:p>
    <w:p w14:paraId="717C6E6F" w14:textId="77777777" w:rsidR="009F3074" w:rsidRDefault="009F3074" w:rsidP="009F3074">
      <w:r>
        <w:t>For Index:</w:t>
      </w:r>
    </w:p>
    <w:p w14:paraId="4DA591A2" w14:textId="77777777" w:rsidR="009F3074" w:rsidRDefault="009F3074" w:rsidP="009F3074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Comove as an Unexplained Return Premium, Robustness Tests, Alternative Indexes: Comove*, and Beta.</w:t>
      </w:r>
    </w:p>
    <w:p w14:paraId="63D0D0B0" w14:textId="77777777" w:rsidR="009F3074" w:rsidRPr="00D76C68" w:rsidRDefault="009F3074" w:rsidP="009F3074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For Stocks:</w:t>
      </w:r>
    </w:p>
    <w:p w14:paraId="5CE2CBCC" w14:textId="77777777" w:rsidR="009F3074" w:rsidRDefault="009F3074" w:rsidP="009F3074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Comove as an Unexplained Return Premium, Robustness Tests, Alternative Indexes: Comove*, Beta and Return.</w:t>
      </w:r>
    </w:p>
    <w:p w14:paraId="03B1457A" w14:textId="77777777" w:rsidR="009F3074" w:rsidRDefault="009F3074" w:rsidP="009F3074">
      <w:pPr>
        <w:rPr>
          <w:rStyle w:val="IntenseReference"/>
        </w:rPr>
      </w:pPr>
    </w:p>
    <w:p w14:paraId="42C3102B" w14:textId="77777777" w:rsidR="009F3074" w:rsidRPr="00C3382A" w:rsidRDefault="009F3074" w:rsidP="009F3074">
      <w:r w:rsidRPr="005F3D74">
        <w:rPr>
          <w:rStyle w:val="IntenseReference"/>
        </w:rPr>
        <w:t>Datatype</w:t>
      </w:r>
      <w:r w:rsidRPr="00C3382A">
        <w:t>:</w:t>
      </w:r>
      <w:r>
        <w:t xml:space="preserve"> X(RI)~E</w:t>
      </w:r>
    </w:p>
    <w:p w14:paraId="505019F6" w14:textId="77777777" w:rsidR="009F3074" w:rsidRDefault="009F3074" w:rsidP="009F3074">
      <w:pPr>
        <w:jc w:val="both"/>
        <w:rPr>
          <w:rStyle w:val="IntenseReference"/>
        </w:rPr>
      </w:pPr>
      <w:r w:rsidRPr="006D360C">
        <w:rPr>
          <w:rStyle w:val="IntenseReference"/>
        </w:rPr>
        <w:t xml:space="preserve">Command: </w:t>
      </w:r>
      <w:r>
        <w:rPr>
          <w:rStyle w:val="IntenseReference"/>
        </w:rPr>
        <w:t xml:space="preserve"> </w:t>
      </w:r>
    </w:p>
    <w:p w14:paraId="2C00D221" w14:textId="2588A06D" w:rsidR="009F3074" w:rsidRPr="00FD3A2C" w:rsidRDefault="009F3074" w:rsidP="009F3074">
      <w:pPr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t xml:space="preserve">For Index: = </w:t>
      </w:r>
      <w:r w:rsidRPr="008771B5">
        <w:t>DSGRID("</w:t>
      </w:r>
      <w:r>
        <w:t>SWISSMI</w:t>
      </w:r>
      <w:r w:rsidRPr="008771B5">
        <w:t>";"RI";"</w:t>
      </w:r>
      <w:r>
        <w:t>31</w:t>
      </w:r>
      <w:r w:rsidRPr="008771B5">
        <w:t>-0</w:t>
      </w:r>
      <w:r>
        <w:t>6</w:t>
      </w:r>
      <w:r w:rsidRPr="008771B5">
        <w:t>-</w:t>
      </w:r>
      <w:r>
        <w:t>2000</w:t>
      </w:r>
      <w:r w:rsidRPr="008771B5">
        <w:t>";"202</w:t>
      </w:r>
      <w:r>
        <w:t>2</w:t>
      </w:r>
      <w:r w:rsidRPr="008771B5">
        <w:t>-</w:t>
      </w:r>
      <w:r>
        <w:t>12</w:t>
      </w:r>
      <w:r w:rsidRPr="008771B5">
        <w:t>-31";"</w:t>
      </w:r>
      <w:r>
        <w:t>D</w:t>
      </w:r>
      <w:r w:rsidRPr="008771B5">
        <w:t>;"RowHeader=true;ColHeader=true;Heading=true;Curn=true;DispSeriesDescription=true;YearlyTSFormat=false;QuarterlyTSFormat=false;MonthlyTSFormat=False";"")</w:t>
      </w:r>
    </w:p>
    <w:p w14:paraId="3689F4B6" w14:textId="0B133FE2" w:rsidR="009F3074" w:rsidRDefault="009F3074" w:rsidP="009F3074">
      <w:pPr>
        <w:jc w:val="both"/>
      </w:pPr>
      <w:r w:rsidRPr="00FD3A2C">
        <w:t>For Stocks:</w:t>
      </w:r>
      <w:r>
        <w:rPr>
          <w:rStyle w:val="IntenseReference"/>
        </w:rPr>
        <w:t xml:space="preserve"> </w:t>
      </w:r>
      <w:r w:rsidRPr="000348C8">
        <w:t>= DSGRID.(“</w:t>
      </w:r>
      <w:r>
        <w:t>LSWISSMI</w:t>
      </w:r>
      <w:r w:rsidRPr="000348C8">
        <w:rPr>
          <w:rStyle w:val="IntenseEmphasis"/>
        </w:rPr>
        <w:t>MMYY</w:t>
      </w:r>
      <w:r w:rsidRPr="000348C8">
        <w:t>”, “</w:t>
      </w:r>
      <w:r>
        <w:t>X(RI)~E</w:t>
      </w:r>
      <w:r w:rsidRPr="000348C8">
        <w:t>”, “</w:t>
      </w:r>
      <w:proofErr w:type="spellStart"/>
      <w:r w:rsidRPr="000348C8">
        <w:rPr>
          <w:rStyle w:val="IntenseEmphasis"/>
        </w:rPr>
        <w:t>start</w:t>
      </w:r>
      <w:r>
        <w:rPr>
          <w:rStyle w:val="IntenseEmphasis"/>
        </w:rPr>
        <w:t>D</w:t>
      </w:r>
      <w:r w:rsidRPr="000348C8">
        <w:rPr>
          <w:rStyle w:val="IntenseEmphasis"/>
        </w:rPr>
        <w:t>ate</w:t>
      </w:r>
      <w:proofErr w:type="spellEnd"/>
      <w:r w:rsidRPr="000348C8">
        <w:t>”, “</w:t>
      </w:r>
      <w:proofErr w:type="spellStart"/>
      <w:r w:rsidRPr="000348C8">
        <w:rPr>
          <w:rStyle w:val="IntenseEmphasis"/>
        </w:rPr>
        <w:t>end</w:t>
      </w:r>
      <w:r>
        <w:rPr>
          <w:rStyle w:val="IntenseEmphasis"/>
        </w:rPr>
        <w:t>Da</w:t>
      </w:r>
      <w:r w:rsidRPr="000348C8">
        <w:rPr>
          <w:rStyle w:val="IntenseEmphasis"/>
        </w:rPr>
        <w:t>te</w:t>
      </w:r>
      <w:proofErr w:type="spellEnd"/>
      <w:r w:rsidRPr="000348C8">
        <w:t>”, “</w:t>
      </w:r>
      <w:r>
        <w:t>D</w:t>
      </w:r>
      <w:r w:rsidRPr="000348C8">
        <w:t>”</w:t>
      </w:r>
      <w:r>
        <w:t xml:space="preserve">, </w:t>
      </w:r>
      <w:r w:rsidRPr="000348C8">
        <w:t xml:space="preserve"> "RowHeader=true;TimeSeriesList=true;ColHeader=true;Transpose=true;DispSeriesDescription=false;YearlyTSFormat=false;QuarterlyTSFormat=false;Clearself=y;MonthlyTSFormat=True</w:t>
      </w:r>
      <w:r>
        <w:t>”)</w:t>
      </w:r>
    </w:p>
    <w:p w14:paraId="657DB0D9" w14:textId="5DFF4E0A" w:rsidR="009F3074" w:rsidRDefault="009F3074" w:rsidP="009F3074">
      <w:pPr>
        <w:pStyle w:val="ListParagraph"/>
        <w:numPr>
          <w:ilvl w:val="0"/>
          <w:numId w:val="2"/>
        </w:numPr>
      </w:pPr>
      <w:r>
        <w:t xml:space="preserve">With </w:t>
      </w:r>
      <w:r w:rsidRPr="00E378D1">
        <w:rPr>
          <w:rStyle w:val="IntenseEmphasis"/>
        </w:rPr>
        <w:t>MMYY</w:t>
      </w:r>
      <w:r>
        <w:t xml:space="preserve"> the first month of each quarter, with the months ranging from 0701 until 1022. </w:t>
      </w:r>
    </w:p>
    <w:p w14:paraId="21F660A8" w14:textId="77777777" w:rsidR="009F3074" w:rsidRPr="000348C8" w:rsidRDefault="009F3074" w:rsidP="009F3074">
      <w:pPr>
        <w:pStyle w:val="ListParagraph"/>
        <w:numPr>
          <w:ilvl w:val="0"/>
          <w:numId w:val="2"/>
        </w:numPr>
        <w:jc w:val="both"/>
      </w:pPr>
      <w:r>
        <w:t xml:space="preserve">With </w:t>
      </w:r>
      <w:proofErr w:type="spellStart"/>
      <w:r w:rsidRPr="00E378D1">
        <w:rPr>
          <w:rStyle w:val="IntenseEmphasis"/>
        </w:rPr>
        <w:t>start</w:t>
      </w:r>
      <w:r>
        <w:rPr>
          <w:rStyle w:val="IntenseEmphasis"/>
        </w:rPr>
        <w:t>D</w:t>
      </w:r>
      <w:r w:rsidRPr="00E378D1">
        <w:rPr>
          <w:rStyle w:val="IntenseEmphasis"/>
        </w:rPr>
        <w:t>ate</w:t>
      </w:r>
      <w:proofErr w:type="spellEnd"/>
      <w:r>
        <w:t xml:space="preserve"> and </w:t>
      </w:r>
      <w:proofErr w:type="spellStart"/>
      <w:r w:rsidRPr="00E378D1">
        <w:rPr>
          <w:rStyle w:val="IntenseEmphasis"/>
        </w:rPr>
        <w:t>end</w:t>
      </w:r>
      <w:r>
        <w:rPr>
          <w:rStyle w:val="IntenseEmphasis"/>
        </w:rPr>
        <w:t>D</w:t>
      </w:r>
      <w:r w:rsidRPr="00E378D1">
        <w:rPr>
          <w:rStyle w:val="IntenseEmphasis"/>
        </w:rPr>
        <w:t>ate</w:t>
      </w:r>
      <w:proofErr w:type="spellEnd"/>
      <w:r>
        <w:t xml:space="preserve"> in YYYY-MM-DD format; </w:t>
      </w:r>
      <w:proofErr w:type="spellStart"/>
      <w:r w:rsidRPr="00E378D1">
        <w:rPr>
          <w:rStyle w:val="IntenseEmphasis"/>
        </w:rPr>
        <w:t>startDate</w:t>
      </w:r>
      <w:proofErr w:type="spellEnd"/>
      <w:r>
        <w:t xml:space="preserve"> the first day of the year prior to MMYY and </w:t>
      </w:r>
      <w:proofErr w:type="spellStart"/>
      <w:r w:rsidRPr="00E378D1">
        <w:rPr>
          <w:rStyle w:val="IntenseEmphasis"/>
        </w:rPr>
        <w:t>endDate</w:t>
      </w:r>
      <w:proofErr w:type="spellEnd"/>
      <w:r>
        <w:t xml:space="preserve"> the last day of two months after the MMYY. For example, for Jan 2002, 2001-01-01 and 2002-03-31.</w:t>
      </w:r>
    </w:p>
    <w:p w14:paraId="03E6CF1F" w14:textId="77777777" w:rsidR="009F3074" w:rsidRDefault="009F3074" w:rsidP="009F3074"/>
    <w:p w14:paraId="48A493AE" w14:textId="77777777" w:rsidR="009F3074" w:rsidRDefault="009F3074" w:rsidP="009F3074">
      <w:pPr>
        <w:jc w:val="both"/>
      </w:pPr>
      <w:r w:rsidRPr="00136141">
        <w:rPr>
          <w:rStyle w:val="IntenseReference"/>
        </w:rPr>
        <w:t>Definition</w:t>
      </w:r>
      <w:r>
        <w:t>: This is the theoretical absolute growth in value of a share holding over that day, assuming that dividends are re-invested to purchase additional unites of the stock at the closing price applicable on the ex-dividend date.</w:t>
      </w:r>
      <w:r w:rsidRPr="006D360C">
        <w:t xml:space="preserve"> </w:t>
      </w:r>
      <w:r>
        <w:t>Note that these “prices” are converted to euro.</w:t>
      </w:r>
    </w:p>
    <w:p w14:paraId="6CC2559F" w14:textId="77777777" w:rsidR="009F3074" w:rsidRPr="000348C8" w:rsidRDefault="009F3074" w:rsidP="009F3074"/>
    <w:p w14:paraId="765BA5AD" w14:textId="77777777" w:rsidR="009F3074" w:rsidRDefault="009F3074" w:rsidP="009F3074">
      <w:r w:rsidRPr="00372830">
        <w:rPr>
          <w:noProof/>
        </w:rPr>
        <w:lastRenderedPageBreak/>
        <w:drawing>
          <wp:inline distT="0" distB="0" distL="0" distR="0" wp14:anchorId="12C98852" wp14:editId="587F7812">
            <wp:extent cx="5731510" cy="566166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D3DC" w14:textId="77777777" w:rsidR="009F3074" w:rsidRDefault="009F3074" w:rsidP="009F3074">
      <w:pPr>
        <w:rPr>
          <w:rStyle w:val="IntenseEmphasis"/>
        </w:rPr>
      </w:pPr>
    </w:p>
    <w:p w14:paraId="6F9F7C0E" w14:textId="77777777" w:rsidR="009F3074" w:rsidRPr="00C3382A" w:rsidRDefault="009F3074" w:rsidP="009F3074">
      <w:pPr>
        <w:rPr>
          <w:rStyle w:val="IntenseEmphasis"/>
        </w:rPr>
      </w:pPr>
    </w:p>
    <w:p w14:paraId="4609EE3A" w14:textId="5976EA9B" w:rsidR="0013162C" w:rsidRPr="009F3074" w:rsidRDefault="0013162C" w:rsidP="0013162C">
      <w:pPr>
        <w:rPr>
          <w:rStyle w:val="IntenseEmphasis"/>
          <w:rFonts w:asciiTheme="majorHAnsi" w:eastAsiaTheme="majorEastAsia" w:hAnsiTheme="majorHAnsi" w:cstheme="majorBidi"/>
          <w:i w:val="0"/>
          <w:iCs w:val="0"/>
          <w:color w:val="auto"/>
          <w:spacing w:val="-10"/>
          <w:kern w:val="28"/>
          <w:sz w:val="56"/>
          <w:szCs w:val="56"/>
        </w:rPr>
      </w:pPr>
    </w:p>
    <w:p w14:paraId="265384F0" w14:textId="74A6BA8C" w:rsidR="00107021" w:rsidRDefault="00107021" w:rsidP="0010702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22D141C" w14:textId="77777777" w:rsidR="00107021" w:rsidRDefault="00107021" w:rsidP="00107021">
      <w:pPr>
        <w:pStyle w:val="Title"/>
        <w:jc w:val="both"/>
      </w:pPr>
      <w:r w:rsidRPr="00C3382A">
        <w:lastRenderedPageBreak/>
        <w:t>Data Definition of DataStream</w:t>
      </w:r>
      <w:r>
        <w:t xml:space="preserve"> Data</w:t>
      </w:r>
      <w:r w:rsidRPr="00C3382A">
        <w:t xml:space="preserve">: </w:t>
      </w:r>
    </w:p>
    <w:p w14:paraId="16691A97" w14:textId="77777777" w:rsidR="00107021" w:rsidRPr="00883E37" w:rsidRDefault="00107021" w:rsidP="00107021">
      <w:pPr>
        <w:pStyle w:val="Subtitle"/>
      </w:pPr>
      <w:r w:rsidRPr="00C3382A">
        <w:t xml:space="preserve">Monthly </w:t>
      </w:r>
      <w:r>
        <w:t>Returns in Euro (in 3 years prior) – Stocks and Index</w:t>
      </w:r>
    </w:p>
    <w:p w14:paraId="592DD0F9" w14:textId="77777777" w:rsidR="00107021" w:rsidRDefault="00107021" w:rsidP="00107021"/>
    <w:p w14:paraId="4DB6C130" w14:textId="77777777" w:rsidR="00107021" w:rsidRDefault="00107021" w:rsidP="00107021">
      <w:r w:rsidRPr="005F3D74">
        <w:rPr>
          <w:rStyle w:val="IntenseReference"/>
        </w:rPr>
        <w:t>Variables that use this data</w:t>
      </w:r>
      <w:r>
        <w:t xml:space="preserve">: </w:t>
      </w:r>
    </w:p>
    <w:p w14:paraId="771E3B61" w14:textId="77777777" w:rsidR="00107021" w:rsidRDefault="00107021" w:rsidP="00107021">
      <w:r>
        <w:t>For Index:</w:t>
      </w:r>
    </w:p>
    <w:p w14:paraId="5DD8FC7C" w14:textId="77777777" w:rsidR="00107021" w:rsidRDefault="00107021" w:rsidP="00107021">
      <w:pPr>
        <w:pStyle w:val="ListParagraph"/>
        <w:numPr>
          <w:ilvl w:val="0"/>
          <w:numId w:val="2"/>
        </w:numPr>
        <w:jc w:val="both"/>
      </w:pPr>
      <w:r>
        <w:t>Comove as an unexplained premium, robustness tests, controlling with Fama and Macbeth regressions,</w:t>
      </w:r>
      <w:r w:rsidRPr="00B35CB1">
        <w:t xml:space="preserve"> Varying the Comove Measure and the Sample</w:t>
      </w:r>
      <w:r>
        <w:t xml:space="preserve">: </w:t>
      </w:r>
      <w:r w:rsidRPr="00B35CB1">
        <w:t>Comove with monthly frequency</w:t>
      </w:r>
      <w:r>
        <w:t>.</w:t>
      </w:r>
    </w:p>
    <w:p w14:paraId="685B11D0" w14:textId="77777777" w:rsidR="00107021" w:rsidRDefault="00107021" w:rsidP="00107021">
      <w:r>
        <w:t>For Stocks:</w:t>
      </w:r>
    </w:p>
    <w:p w14:paraId="08C74091" w14:textId="77777777" w:rsidR="00107021" w:rsidRDefault="00107021" w:rsidP="00107021">
      <w:pPr>
        <w:pStyle w:val="ListParagraph"/>
        <w:numPr>
          <w:ilvl w:val="0"/>
          <w:numId w:val="2"/>
        </w:numPr>
        <w:jc w:val="both"/>
      </w:pPr>
      <w:r>
        <w:t xml:space="preserve">Comove as an unexplained premium, robustness tests, controlling with Fama and Macbeth regressions, </w:t>
      </w:r>
      <w:r w:rsidRPr="001759E9">
        <w:t>Other Benchmarks, Fixed Effects and Skipped Month</w:t>
      </w:r>
      <w:r>
        <w:t xml:space="preserve">: </w:t>
      </w:r>
      <w:r w:rsidRPr="001759E9">
        <w:t>Long-term momentum</w:t>
      </w:r>
      <w:r>
        <w:t xml:space="preserve">, noted as </w:t>
      </w:r>
      <w:r w:rsidRPr="001759E9">
        <w:rPr>
          <w:i/>
          <w:lang w:val="en-US"/>
        </w:rPr>
        <w:t>R</w:t>
      </w:r>
      <w:r w:rsidRPr="001759E9">
        <w:rPr>
          <w:i/>
          <w:vertAlign w:val="subscript"/>
          <w:lang w:val="en-US"/>
        </w:rPr>
        <w:t>t-36, t-13</w:t>
      </w:r>
      <w:r>
        <w:rPr>
          <w:i/>
          <w:vertAlign w:val="subscript"/>
          <w:lang w:val="en-US"/>
        </w:rPr>
        <w:t xml:space="preserve"> </w:t>
      </w:r>
      <w:r w:rsidRPr="001759E9">
        <w:rPr>
          <w:i/>
          <w:lang w:val="en-US"/>
        </w:rPr>
        <w:t>.</w:t>
      </w:r>
      <w:r>
        <w:rPr>
          <w:i/>
          <w:lang w:val="en-US"/>
        </w:rPr>
        <w:t xml:space="preserve"> </w:t>
      </w:r>
    </w:p>
    <w:p w14:paraId="5F04B2A5" w14:textId="77777777" w:rsidR="00107021" w:rsidRDefault="00107021" w:rsidP="00107021">
      <w:pPr>
        <w:pStyle w:val="ListParagraph"/>
        <w:numPr>
          <w:ilvl w:val="0"/>
          <w:numId w:val="2"/>
        </w:numPr>
        <w:jc w:val="both"/>
      </w:pPr>
      <w:r>
        <w:t>Comove as an unexplained premium, robustness tests, controlling with Fama and Macbeth regressions,</w:t>
      </w:r>
      <w:r w:rsidRPr="00B35CB1">
        <w:t xml:space="preserve"> Varying the Comove Measure and the Sample</w:t>
      </w:r>
      <w:r>
        <w:t xml:space="preserve">: </w:t>
      </w:r>
      <w:r w:rsidRPr="00B35CB1">
        <w:t>Comove with monthly frequency</w:t>
      </w:r>
      <w:r>
        <w:t xml:space="preserve">. </w:t>
      </w:r>
    </w:p>
    <w:p w14:paraId="52465814" w14:textId="77777777" w:rsidR="00107021" w:rsidRDefault="00107021" w:rsidP="00107021">
      <w:pPr>
        <w:rPr>
          <w:rStyle w:val="Strong"/>
        </w:rPr>
      </w:pPr>
    </w:p>
    <w:p w14:paraId="6FADE5EF" w14:textId="77777777" w:rsidR="00107021" w:rsidRPr="00C3382A" w:rsidRDefault="00107021" w:rsidP="00107021">
      <w:r w:rsidRPr="005F3D74">
        <w:rPr>
          <w:rStyle w:val="IntenseReference"/>
        </w:rPr>
        <w:t>Datatype</w:t>
      </w:r>
      <w:r w:rsidRPr="00C3382A">
        <w:t>:</w:t>
      </w:r>
      <w:r>
        <w:t xml:space="preserve"> X(RI) ~ E</w:t>
      </w:r>
    </w:p>
    <w:p w14:paraId="7D5AE686" w14:textId="77777777" w:rsidR="00107021" w:rsidRDefault="00107021" w:rsidP="00107021">
      <w:pPr>
        <w:jc w:val="both"/>
      </w:pPr>
      <w:r w:rsidRPr="006D360C">
        <w:rPr>
          <w:rStyle w:val="IntenseReference"/>
        </w:rPr>
        <w:t>Command</w:t>
      </w:r>
      <w:r w:rsidRPr="008771B5">
        <w:t>:</w:t>
      </w:r>
      <w:r>
        <w:t xml:space="preserve"> </w:t>
      </w:r>
    </w:p>
    <w:p w14:paraId="234AA7AE" w14:textId="77777777" w:rsidR="00107021" w:rsidRPr="008771B5" w:rsidRDefault="00107021" w:rsidP="00107021">
      <w:pPr>
        <w:jc w:val="both"/>
      </w:pPr>
      <w:bookmarkStart w:id="24" w:name="_Hlk166679951"/>
      <w:r>
        <w:t xml:space="preserve">For Index: = </w:t>
      </w:r>
      <w:r w:rsidRPr="008771B5">
        <w:t>DSGRID("DJSTOXX";"RI";"1999-01-01";"2024-03-31";"M";"RowHeader=true;ColHeader=true;Heading=true;Curn=true;DispSeriesDescription=true;YearlyTSFormat=false;QuarterlyTSFormat=false;MonthlyTSFormat=False";"")</w:t>
      </w:r>
    </w:p>
    <w:bookmarkEnd w:id="24"/>
    <w:p w14:paraId="020F8193" w14:textId="77777777" w:rsidR="00107021" w:rsidRPr="00136141" w:rsidRDefault="00107021" w:rsidP="00107021">
      <w:pPr>
        <w:jc w:val="both"/>
        <w:rPr>
          <w:b/>
          <w:bCs/>
          <w:smallCaps/>
          <w:color w:val="4472C4" w:themeColor="accent1"/>
          <w:spacing w:val="5"/>
        </w:rPr>
      </w:pPr>
      <w:r w:rsidRPr="00B35CB1">
        <w:t xml:space="preserve">For </w:t>
      </w:r>
      <w:r>
        <w:t>Stocks</w:t>
      </w:r>
      <w:r w:rsidRPr="00B35CB1">
        <w:t>:</w:t>
      </w:r>
      <w:r>
        <w:t xml:space="preserve"> </w:t>
      </w:r>
      <w:r w:rsidRPr="000348C8">
        <w:t>= DSGRID.(“LDJSTOXX</w:t>
      </w:r>
      <w:r w:rsidRPr="000348C8">
        <w:rPr>
          <w:rStyle w:val="IntenseEmphasis"/>
        </w:rPr>
        <w:t>MMYY</w:t>
      </w:r>
      <w:r w:rsidRPr="000348C8">
        <w:t>”, “</w:t>
      </w:r>
      <w:r>
        <w:t>X(RI)~E</w:t>
      </w:r>
      <w:r w:rsidRPr="000348C8">
        <w:t>”, “</w:t>
      </w:r>
      <w:proofErr w:type="spellStart"/>
      <w:r w:rsidRPr="000348C8">
        <w:rPr>
          <w:rStyle w:val="IntenseEmphasis"/>
        </w:rPr>
        <w:t>start</w:t>
      </w:r>
      <w:r>
        <w:rPr>
          <w:rStyle w:val="IntenseEmphasis"/>
        </w:rPr>
        <w:t>D</w:t>
      </w:r>
      <w:r w:rsidRPr="000348C8">
        <w:rPr>
          <w:rStyle w:val="IntenseEmphasis"/>
        </w:rPr>
        <w:t>ate</w:t>
      </w:r>
      <w:proofErr w:type="spellEnd"/>
      <w:r w:rsidRPr="000348C8">
        <w:t>”, “</w:t>
      </w:r>
      <w:proofErr w:type="spellStart"/>
      <w:r w:rsidRPr="000348C8">
        <w:rPr>
          <w:rStyle w:val="IntenseEmphasis"/>
        </w:rPr>
        <w:t>end</w:t>
      </w:r>
      <w:r>
        <w:rPr>
          <w:rStyle w:val="IntenseEmphasis"/>
        </w:rPr>
        <w:t>Da</w:t>
      </w:r>
      <w:r w:rsidRPr="000348C8">
        <w:rPr>
          <w:rStyle w:val="IntenseEmphasis"/>
        </w:rPr>
        <w:t>te</w:t>
      </w:r>
      <w:proofErr w:type="spellEnd"/>
      <w:r w:rsidRPr="000348C8">
        <w:t>”, “M”</w:t>
      </w:r>
      <w:r>
        <w:t xml:space="preserve">, </w:t>
      </w:r>
      <w:r w:rsidRPr="000348C8">
        <w:t xml:space="preserve"> </w:t>
      </w:r>
      <w:r>
        <w:t>“</w:t>
      </w:r>
      <w:r w:rsidRPr="008771B5">
        <w:t>RowHeader=true;TimeSeriesList=true;ColHeader=true;Transpose=true;DispSeriesDescription=false;YearlyTSFormat=false;QuarterlyTSFormat=false;Clearself=y;MonthlyTSFormat=True</w:t>
      </w:r>
      <w:r>
        <w:t>”)</w:t>
      </w:r>
    </w:p>
    <w:p w14:paraId="27EAA332" w14:textId="77777777" w:rsidR="00107021" w:rsidRDefault="00107021" w:rsidP="00107021">
      <w:pPr>
        <w:pStyle w:val="ListParagraph"/>
        <w:numPr>
          <w:ilvl w:val="0"/>
          <w:numId w:val="2"/>
        </w:numPr>
      </w:pPr>
      <w:r>
        <w:t xml:space="preserve">With </w:t>
      </w:r>
      <w:r w:rsidRPr="00E378D1">
        <w:rPr>
          <w:rStyle w:val="IntenseEmphasis"/>
        </w:rPr>
        <w:t>MMYY</w:t>
      </w:r>
      <w:r>
        <w:t xml:space="preserve"> the first month of each quarter, with the months ranging from 0102 until 0324.</w:t>
      </w:r>
    </w:p>
    <w:p w14:paraId="6F8370E2" w14:textId="77777777" w:rsidR="00107021" w:rsidRDefault="00107021" w:rsidP="00107021">
      <w:pPr>
        <w:pStyle w:val="ListParagraph"/>
        <w:numPr>
          <w:ilvl w:val="0"/>
          <w:numId w:val="2"/>
        </w:numPr>
        <w:jc w:val="both"/>
      </w:pPr>
      <w:r>
        <w:t xml:space="preserve">With </w:t>
      </w:r>
      <w:proofErr w:type="spellStart"/>
      <w:r w:rsidRPr="00E378D1">
        <w:rPr>
          <w:rStyle w:val="IntenseEmphasis"/>
        </w:rPr>
        <w:t>start</w:t>
      </w:r>
      <w:r>
        <w:rPr>
          <w:rStyle w:val="IntenseEmphasis"/>
        </w:rPr>
        <w:t>D</w:t>
      </w:r>
      <w:r w:rsidRPr="00E378D1">
        <w:rPr>
          <w:rStyle w:val="IntenseEmphasis"/>
        </w:rPr>
        <w:t>ate</w:t>
      </w:r>
      <w:proofErr w:type="spellEnd"/>
      <w:r>
        <w:t xml:space="preserve"> and </w:t>
      </w:r>
      <w:proofErr w:type="spellStart"/>
      <w:r w:rsidRPr="00E378D1">
        <w:rPr>
          <w:rStyle w:val="IntenseEmphasis"/>
        </w:rPr>
        <w:t>end</w:t>
      </w:r>
      <w:r>
        <w:rPr>
          <w:rStyle w:val="IntenseEmphasis"/>
        </w:rPr>
        <w:t>D</w:t>
      </w:r>
      <w:r w:rsidRPr="00E378D1">
        <w:rPr>
          <w:rStyle w:val="IntenseEmphasis"/>
        </w:rPr>
        <w:t>ate</w:t>
      </w:r>
      <w:proofErr w:type="spellEnd"/>
      <w:r>
        <w:t xml:space="preserve"> in YYYY-MM-DD format; </w:t>
      </w:r>
      <w:proofErr w:type="spellStart"/>
      <w:r w:rsidRPr="00E378D1">
        <w:rPr>
          <w:rStyle w:val="IntenseEmphasis"/>
        </w:rPr>
        <w:t>startDate</w:t>
      </w:r>
      <w:proofErr w:type="spellEnd"/>
      <w:r>
        <w:t xml:space="preserve"> the first day of the three years prior to MMYY and </w:t>
      </w:r>
      <w:proofErr w:type="spellStart"/>
      <w:r w:rsidRPr="00E378D1">
        <w:rPr>
          <w:rStyle w:val="IntenseEmphasis"/>
        </w:rPr>
        <w:t>endDate</w:t>
      </w:r>
      <w:proofErr w:type="spellEnd"/>
      <w:r>
        <w:t xml:space="preserve"> the last day of two months after the MMYY. For example, for Jan 2002, 1999-01-01 and 2002-03-31.</w:t>
      </w:r>
    </w:p>
    <w:p w14:paraId="208E7608" w14:textId="77777777" w:rsidR="00107021" w:rsidRPr="000348C8" w:rsidRDefault="00107021" w:rsidP="00107021">
      <w:pPr>
        <w:pStyle w:val="ListParagraph"/>
        <w:ind w:left="360"/>
        <w:jc w:val="both"/>
      </w:pPr>
    </w:p>
    <w:p w14:paraId="1452C1FD" w14:textId="77777777" w:rsidR="00107021" w:rsidRPr="000348C8" w:rsidRDefault="00107021" w:rsidP="00107021">
      <w:pPr>
        <w:jc w:val="both"/>
      </w:pPr>
      <w:r w:rsidRPr="00136141">
        <w:rPr>
          <w:rStyle w:val="IntenseReference"/>
        </w:rPr>
        <w:t>Definition</w:t>
      </w:r>
      <w:r>
        <w:t>:</w:t>
      </w:r>
      <w:r w:rsidRPr="006D360C">
        <w:t xml:space="preserve"> </w:t>
      </w:r>
      <w:r>
        <w:t>This is the theoretical absolute growth in value of a share holding over that month, assuming that dividends are re-invested to purchase additional unites of the stock at the closing price applicable on the ex-dividend date.</w:t>
      </w:r>
      <w:r w:rsidRPr="006D360C">
        <w:t xml:space="preserve"> </w:t>
      </w:r>
      <w:r>
        <w:t>Note that these “prices” are converted to euro.</w:t>
      </w:r>
    </w:p>
    <w:p w14:paraId="45E8B969" w14:textId="77777777" w:rsidR="00107021" w:rsidRDefault="00107021" w:rsidP="00107021">
      <w:r w:rsidRPr="00372830">
        <w:rPr>
          <w:noProof/>
        </w:rPr>
        <w:lastRenderedPageBreak/>
        <w:drawing>
          <wp:inline distT="0" distB="0" distL="0" distR="0" wp14:anchorId="26743CE5" wp14:editId="5450D576">
            <wp:extent cx="5731510" cy="56616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DB52" w14:textId="77777777" w:rsidR="00107021" w:rsidRDefault="00107021" w:rsidP="00107021">
      <w:pPr>
        <w:rPr>
          <w:rStyle w:val="IntenseEmphasis"/>
        </w:rPr>
      </w:pPr>
    </w:p>
    <w:p w14:paraId="70739B06" w14:textId="77777777" w:rsidR="00107021" w:rsidRPr="00C3382A" w:rsidRDefault="00107021" w:rsidP="00107021">
      <w:pPr>
        <w:rPr>
          <w:rStyle w:val="IntenseEmphasis"/>
        </w:rPr>
      </w:pPr>
    </w:p>
    <w:p w14:paraId="1E0F24E6" w14:textId="77777777" w:rsidR="00107021" w:rsidRDefault="00107021" w:rsidP="00107021">
      <w:r>
        <w:br w:type="page"/>
      </w:r>
    </w:p>
    <w:p w14:paraId="46075ECD" w14:textId="77777777" w:rsidR="00107021" w:rsidRDefault="00107021" w:rsidP="00107021">
      <w:pPr>
        <w:pStyle w:val="Title"/>
        <w:jc w:val="both"/>
      </w:pPr>
      <w:r w:rsidRPr="00C3382A">
        <w:lastRenderedPageBreak/>
        <w:t>Data Definition of DataStream</w:t>
      </w:r>
      <w:r>
        <w:t xml:space="preserve"> Data</w:t>
      </w:r>
      <w:r w:rsidRPr="00C3382A">
        <w:t xml:space="preserve">: </w:t>
      </w:r>
    </w:p>
    <w:p w14:paraId="23CCB0BF" w14:textId="77777777" w:rsidR="00107021" w:rsidRPr="00883E37" w:rsidRDefault="00107021" w:rsidP="00107021">
      <w:pPr>
        <w:pStyle w:val="Subtitle"/>
      </w:pPr>
      <w:r>
        <w:t>Daily Return (in 1 year prior) – EUR50 Index</w:t>
      </w:r>
    </w:p>
    <w:p w14:paraId="7EA553CB" w14:textId="77777777" w:rsidR="00107021" w:rsidRDefault="00107021" w:rsidP="00107021"/>
    <w:p w14:paraId="278C8CBB" w14:textId="77777777" w:rsidR="00107021" w:rsidRDefault="00107021" w:rsidP="00107021">
      <w:r w:rsidRPr="005F3D74">
        <w:rPr>
          <w:rStyle w:val="IntenseReference"/>
        </w:rPr>
        <w:t>Variables that use this data</w:t>
      </w:r>
      <w:r>
        <w:t xml:space="preserve">: </w:t>
      </w:r>
    </w:p>
    <w:p w14:paraId="55FFB0AF" w14:textId="77777777" w:rsidR="00107021" w:rsidRDefault="00107021" w:rsidP="00107021">
      <w:pPr>
        <w:rPr>
          <w:rStyle w:val="Strong"/>
          <w:b w:val="0"/>
          <w:bCs w:val="0"/>
        </w:rPr>
      </w:pPr>
      <w:commentRangeStart w:id="25"/>
      <w:r>
        <w:rPr>
          <w:rStyle w:val="Strong"/>
          <w:b w:val="0"/>
          <w:bCs w:val="0"/>
        </w:rPr>
        <w:t xml:space="preserve">From these daily returns, weekly aggregates have been calculated and these have been used for variables indicated with an </w:t>
      </w:r>
      <w:proofErr w:type="spellStart"/>
      <w:r>
        <w:rPr>
          <w:rStyle w:val="Strong"/>
          <w:b w:val="0"/>
          <w:bCs w:val="0"/>
        </w:rPr>
        <w:t>asterix</w:t>
      </w:r>
      <w:proofErr w:type="spellEnd"/>
      <w:r>
        <w:rPr>
          <w:rStyle w:val="Strong"/>
          <w:b w:val="0"/>
          <w:bCs w:val="0"/>
        </w:rPr>
        <w:t xml:space="preserve">. </w:t>
      </w:r>
      <w:commentRangeEnd w:id="25"/>
      <w:r>
        <w:rPr>
          <w:rStyle w:val="CommentReference"/>
        </w:rPr>
        <w:commentReference w:id="25"/>
      </w:r>
    </w:p>
    <w:p w14:paraId="4D29FFBE" w14:textId="77777777" w:rsidR="00107021" w:rsidRDefault="00107021" w:rsidP="00107021">
      <w:r>
        <w:t>For Index:</w:t>
      </w:r>
    </w:p>
    <w:p w14:paraId="5F44F184" w14:textId="77777777" w:rsidR="00107021" w:rsidRPr="00EF0A2F" w:rsidRDefault="00107021" w:rsidP="00107021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Comove as an Unexplained Return Premium, Robustness Tests, Controlling for Fama and MacBeth regressions, varying the comove measure and the sample: Comove with EUR50*. </w:t>
      </w:r>
    </w:p>
    <w:p w14:paraId="72F23875" w14:textId="77777777" w:rsidR="00107021" w:rsidRDefault="00107021" w:rsidP="00107021">
      <w:pPr>
        <w:rPr>
          <w:rStyle w:val="IntenseReference"/>
        </w:rPr>
      </w:pPr>
    </w:p>
    <w:p w14:paraId="516CC2BC" w14:textId="77777777" w:rsidR="00107021" w:rsidRPr="00C3382A" w:rsidRDefault="00107021" w:rsidP="00107021">
      <w:r w:rsidRPr="005F3D74">
        <w:rPr>
          <w:rStyle w:val="IntenseReference"/>
        </w:rPr>
        <w:t>Datatype</w:t>
      </w:r>
      <w:r w:rsidRPr="00C3382A">
        <w:t>:</w:t>
      </w:r>
      <w:r>
        <w:t xml:space="preserve"> X(RI)~E</w:t>
      </w:r>
    </w:p>
    <w:p w14:paraId="5477853B" w14:textId="77777777" w:rsidR="00107021" w:rsidRDefault="00107021" w:rsidP="00107021">
      <w:pPr>
        <w:jc w:val="both"/>
        <w:rPr>
          <w:rStyle w:val="IntenseReference"/>
        </w:rPr>
      </w:pPr>
      <w:r w:rsidRPr="006D360C">
        <w:rPr>
          <w:rStyle w:val="IntenseReference"/>
        </w:rPr>
        <w:t xml:space="preserve">Command: </w:t>
      </w:r>
      <w:r>
        <w:rPr>
          <w:rStyle w:val="IntenseReference"/>
        </w:rPr>
        <w:t xml:space="preserve"> </w:t>
      </w:r>
    </w:p>
    <w:p w14:paraId="083F0799" w14:textId="77777777" w:rsidR="00107021" w:rsidRPr="00FD3A2C" w:rsidRDefault="00107021" w:rsidP="00107021">
      <w:pPr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t xml:space="preserve">For Index: = </w:t>
      </w:r>
      <w:r w:rsidRPr="008771B5">
        <w:t>DSGRID("DJ</w:t>
      </w:r>
      <w:r>
        <w:t>E5501</w:t>
      </w:r>
      <w:r w:rsidRPr="008771B5">
        <w:t>";"RI";"1999-01-01";"2024-03-31";"M</w:t>
      </w:r>
      <w:r>
        <w:t>D</w:t>
      </w:r>
      <w:r w:rsidRPr="008771B5">
        <w:t>;"RowHeader=true;ColHeader=true;Heading=true;Curn=true;DispSeriesDescription=true;YearlyTSFormat=false;QuarterlyTSFormat=false;MonthlyTSFormat=False";"")</w:t>
      </w:r>
    </w:p>
    <w:p w14:paraId="75131FEB" w14:textId="77777777" w:rsidR="00107021" w:rsidRDefault="00107021" w:rsidP="00107021"/>
    <w:p w14:paraId="79BC6212" w14:textId="77777777" w:rsidR="00107021" w:rsidRDefault="00107021" w:rsidP="00107021">
      <w:pPr>
        <w:jc w:val="both"/>
      </w:pPr>
      <w:r w:rsidRPr="00136141">
        <w:rPr>
          <w:rStyle w:val="IntenseReference"/>
        </w:rPr>
        <w:t>Definition</w:t>
      </w:r>
      <w:r>
        <w:t>: This is the theoretical absolute growth in value of a share holding over that day, assuming that dividends are re-invested to purchase additional unites of the stock at the closing price applicable on the ex-dividend date.</w:t>
      </w:r>
      <w:r w:rsidRPr="006D360C">
        <w:t xml:space="preserve"> </w:t>
      </w:r>
      <w:r>
        <w:t>Note that these “prices” are converted to euro.</w:t>
      </w:r>
    </w:p>
    <w:p w14:paraId="4B0B355D" w14:textId="77777777" w:rsidR="00107021" w:rsidRPr="000348C8" w:rsidRDefault="00107021" w:rsidP="00107021"/>
    <w:p w14:paraId="080B0F20" w14:textId="77777777" w:rsidR="00107021" w:rsidRDefault="00107021" w:rsidP="00107021">
      <w:r w:rsidRPr="00372830">
        <w:rPr>
          <w:noProof/>
        </w:rPr>
        <w:lastRenderedPageBreak/>
        <w:drawing>
          <wp:inline distT="0" distB="0" distL="0" distR="0" wp14:anchorId="3C19F984" wp14:editId="4B861B23">
            <wp:extent cx="5731510" cy="56616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E60A" w14:textId="77777777" w:rsidR="00107021" w:rsidRDefault="00107021" w:rsidP="00107021">
      <w:pPr>
        <w:rPr>
          <w:rStyle w:val="IntenseEmphasis"/>
        </w:rPr>
      </w:pPr>
    </w:p>
    <w:p w14:paraId="3338D5F1" w14:textId="77777777" w:rsidR="00107021" w:rsidRPr="00C3382A" w:rsidRDefault="00107021" w:rsidP="00107021">
      <w:pPr>
        <w:rPr>
          <w:rStyle w:val="IntenseEmphasis"/>
        </w:rPr>
      </w:pPr>
    </w:p>
    <w:p w14:paraId="66D542AF" w14:textId="4DF5AEBD" w:rsidR="002E6737" w:rsidRPr="00962EF8" w:rsidRDefault="002E673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3556C10" w14:textId="0B2BD1FE" w:rsidR="000750BF" w:rsidRDefault="000750BF" w:rsidP="000750BF">
      <w:pPr>
        <w:pStyle w:val="IntenseQuote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lastRenderedPageBreak/>
        <w:t>Stock Characteristics</w:t>
      </w:r>
      <w:r>
        <w:br w:type="page"/>
      </w:r>
    </w:p>
    <w:p w14:paraId="7BEAFABC" w14:textId="77777777" w:rsidR="005E4196" w:rsidRDefault="005E4196" w:rsidP="005E4196">
      <w:pPr>
        <w:pStyle w:val="Title"/>
        <w:jc w:val="both"/>
      </w:pPr>
      <w:r w:rsidRPr="00C3382A">
        <w:lastRenderedPageBreak/>
        <w:t>Data Definition of DataStream</w:t>
      </w:r>
      <w:r>
        <w:t xml:space="preserve"> Data</w:t>
      </w:r>
      <w:r w:rsidRPr="00C3382A">
        <w:t xml:space="preserve">: </w:t>
      </w:r>
    </w:p>
    <w:p w14:paraId="00A1EE8B" w14:textId="77777777" w:rsidR="005E4196" w:rsidRPr="00883E37" w:rsidRDefault="005E4196" w:rsidP="005E4196">
      <w:pPr>
        <w:pStyle w:val="Subtitle"/>
      </w:pPr>
      <w:r w:rsidRPr="00C3382A">
        <w:t xml:space="preserve">Monthly </w:t>
      </w:r>
      <w:r>
        <w:t>Market Capitalization in Euro (in year prior) – Stocks</w:t>
      </w:r>
    </w:p>
    <w:p w14:paraId="5F4901DE" w14:textId="77777777" w:rsidR="005E4196" w:rsidRDefault="005E4196" w:rsidP="005E4196"/>
    <w:p w14:paraId="0ED98469" w14:textId="77777777" w:rsidR="005E4196" w:rsidRDefault="005E4196" w:rsidP="005E4196">
      <w:r w:rsidRPr="005F3D74">
        <w:rPr>
          <w:rStyle w:val="IntenseReference"/>
        </w:rPr>
        <w:t>Variables that use this data</w:t>
      </w:r>
      <w:r>
        <w:t xml:space="preserve">: </w:t>
      </w:r>
    </w:p>
    <w:p w14:paraId="49B95828" w14:textId="77777777" w:rsidR="005E4196" w:rsidRDefault="005E4196" w:rsidP="005E4196">
      <w:pPr>
        <w:pStyle w:val="ListParagraph"/>
        <w:numPr>
          <w:ilvl w:val="0"/>
          <w:numId w:val="2"/>
        </w:numPr>
        <w:jc w:val="both"/>
      </w:pPr>
      <w:r>
        <w:t xml:space="preserve">Comove as an unexplained premium, robustness tests, Alternative Portfolio Aggregation: to weigh the portfolio’s return with the size. </w:t>
      </w:r>
    </w:p>
    <w:p w14:paraId="6677D038" w14:textId="77777777" w:rsidR="005E4196" w:rsidRDefault="005E4196" w:rsidP="005E4196">
      <w:pPr>
        <w:pStyle w:val="ListParagraph"/>
        <w:numPr>
          <w:ilvl w:val="0"/>
          <w:numId w:val="2"/>
        </w:numPr>
        <w:jc w:val="both"/>
      </w:pPr>
      <w:r>
        <w:t>Comove as an unexplained premium, robustness tests, controlling with Fama and Macbeth regressions, Main Variables: Size, noted as ln(</w:t>
      </w:r>
      <w:proofErr w:type="spellStart"/>
      <w:r>
        <w:t>marketCap</w:t>
      </w:r>
      <w:proofErr w:type="spellEnd"/>
      <w:r>
        <w:t>).</w:t>
      </w:r>
    </w:p>
    <w:p w14:paraId="1D7BDE72" w14:textId="77777777" w:rsidR="005E4196" w:rsidRDefault="005E4196" w:rsidP="005E4196">
      <w:pPr>
        <w:pStyle w:val="ListParagraph"/>
        <w:numPr>
          <w:ilvl w:val="0"/>
          <w:numId w:val="2"/>
        </w:numPr>
        <w:jc w:val="both"/>
      </w:pPr>
      <w:r>
        <w:t xml:space="preserve">Comove as an unexplained premium, robustness tests, controlling with Fama and Macbeth regressions, Other benchmarks, Fixed effects and skipped month: to control for the size decile in fixed effects. </w:t>
      </w:r>
    </w:p>
    <w:p w14:paraId="341176AF" w14:textId="77777777" w:rsidR="005E4196" w:rsidRPr="00114569" w:rsidRDefault="005E4196" w:rsidP="005E4196">
      <w:pPr>
        <w:pStyle w:val="ListParagraph"/>
        <w:ind w:left="360"/>
        <w:jc w:val="both"/>
        <w:rPr>
          <w:rStyle w:val="Strong"/>
          <w:b w:val="0"/>
          <w:bCs w:val="0"/>
        </w:rPr>
      </w:pPr>
    </w:p>
    <w:p w14:paraId="1D02E50D" w14:textId="77777777" w:rsidR="005E4196" w:rsidRPr="00C3382A" w:rsidRDefault="005E4196" w:rsidP="005E4196">
      <w:r w:rsidRPr="005F3D74">
        <w:rPr>
          <w:rStyle w:val="IntenseReference"/>
        </w:rPr>
        <w:t>Datatype</w:t>
      </w:r>
      <w:r w:rsidRPr="00C3382A">
        <w:t>:</w:t>
      </w:r>
      <w:r>
        <w:t xml:space="preserve"> X(WC08001)~E</w:t>
      </w:r>
    </w:p>
    <w:p w14:paraId="1319F686" w14:textId="77777777" w:rsidR="005E4196" w:rsidRPr="00136141" w:rsidRDefault="005E4196" w:rsidP="005E4196">
      <w:pPr>
        <w:jc w:val="both"/>
        <w:rPr>
          <w:b/>
          <w:bCs/>
          <w:smallCaps/>
          <w:color w:val="4472C4" w:themeColor="accent1"/>
          <w:spacing w:val="5"/>
        </w:rPr>
      </w:pPr>
      <w:r w:rsidRPr="006D360C">
        <w:rPr>
          <w:rStyle w:val="IntenseReference"/>
        </w:rPr>
        <w:t xml:space="preserve">Command: </w:t>
      </w:r>
      <w:r>
        <w:rPr>
          <w:rStyle w:val="IntenseReference"/>
        </w:rPr>
        <w:t xml:space="preserve"> </w:t>
      </w:r>
      <w:r w:rsidRPr="000348C8">
        <w:t>= DSGRID.(“LDJSTOXX</w:t>
      </w:r>
      <w:r w:rsidRPr="000348C8">
        <w:rPr>
          <w:rStyle w:val="IntenseEmphasis"/>
        </w:rPr>
        <w:t>MMYY</w:t>
      </w:r>
      <w:r w:rsidRPr="000348C8">
        <w:t>”, “</w:t>
      </w:r>
      <w:r>
        <w:t>X(WC08001)~E</w:t>
      </w:r>
      <w:r w:rsidRPr="000348C8">
        <w:t>”, “</w:t>
      </w:r>
      <w:proofErr w:type="spellStart"/>
      <w:r w:rsidRPr="000348C8">
        <w:rPr>
          <w:rStyle w:val="IntenseEmphasis"/>
        </w:rPr>
        <w:t>start</w:t>
      </w:r>
      <w:r>
        <w:rPr>
          <w:rStyle w:val="IntenseEmphasis"/>
        </w:rPr>
        <w:t>D</w:t>
      </w:r>
      <w:r w:rsidRPr="000348C8">
        <w:rPr>
          <w:rStyle w:val="IntenseEmphasis"/>
        </w:rPr>
        <w:t>ate</w:t>
      </w:r>
      <w:proofErr w:type="spellEnd"/>
      <w:r w:rsidRPr="000348C8">
        <w:t>”, “</w:t>
      </w:r>
      <w:proofErr w:type="spellStart"/>
      <w:r w:rsidRPr="000348C8">
        <w:rPr>
          <w:rStyle w:val="IntenseEmphasis"/>
        </w:rPr>
        <w:t>end</w:t>
      </w:r>
      <w:r>
        <w:rPr>
          <w:rStyle w:val="IntenseEmphasis"/>
        </w:rPr>
        <w:t>Da</w:t>
      </w:r>
      <w:r w:rsidRPr="000348C8">
        <w:rPr>
          <w:rStyle w:val="IntenseEmphasis"/>
        </w:rPr>
        <w:t>te</w:t>
      </w:r>
      <w:proofErr w:type="spellEnd"/>
      <w:r w:rsidRPr="000348C8">
        <w:t>”, “M”</w:t>
      </w:r>
      <w:r>
        <w:t xml:space="preserve">, </w:t>
      </w:r>
      <w:r w:rsidRPr="000348C8">
        <w:t xml:space="preserve"> "RowHeader=true;TimeSeriesList=true;ColHeader=true;Transpose=true;DispSeriesDescription=false;YearlyTSFormat=false;QuarterlyTSFormat=false;Clearself=y;MonthlyTSFormat=True</w:t>
      </w:r>
      <w:r>
        <w:t>”)</w:t>
      </w:r>
    </w:p>
    <w:p w14:paraId="66131B24" w14:textId="77777777" w:rsidR="005E4196" w:rsidRDefault="005E4196" w:rsidP="005E4196">
      <w:pPr>
        <w:pStyle w:val="ListParagraph"/>
        <w:numPr>
          <w:ilvl w:val="0"/>
          <w:numId w:val="2"/>
        </w:numPr>
      </w:pPr>
      <w:r>
        <w:t xml:space="preserve">With </w:t>
      </w:r>
      <w:r w:rsidRPr="00E378D1">
        <w:rPr>
          <w:rStyle w:val="IntenseEmphasis"/>
        </w:rPr>
        <w:t>MMYY</w:t>
      </w:r>
      <w:r>
        <w:t xml:space="preserve"> the first month of each quarter, with the months ranging from 0102 until 0324.</w:t>
      </w:r>
    </w:p>
    <w:p w14:paraId="06051138" w14:textId="77777777" w:rsidR="005E4196" w:rsidRPr="000348C8" w:rsidRDefault="005E4196" w:rsidP="005E4196">
      <w:pPr>
        <w:pStyle w:val="ListParagraph"/>
        <w:numPr>
          <w:ilvl w:val="0"/>
          <w:numId w:val="2"/>
        </w:numPr>
        <w:jc w:val="both"/>
      </w:pPr>
      <w:r>
        <w:t xml:space="preserve">With </w:t>
      </w:r>
      <w:proofErr w:type="spellStart"/>
      <w:r w:rsidRPr="00E378D1">
        <w:rPr>
          <w:rStyle w:val="IntenseEmphasis"/>
        </w:rPr>
        <w:t>start</w:t>
      </w:r>
      <w:r>
        <w:rPr>
          <w:rStyle w:val="IntenseEmphasis"/>
        </w:rPr>
        <w:t>D</w:t>
      </w:r>
      <w:r w:rsidRPr="00E378D1">
        <w:rPr>
          <w:rStyle w:val="IntenseEmphasis"/>
        </w:rPr>
        <w:t>ate</w:t>
      </w:r>
      <w:proofErr w:type="spellEnd"/>
      <w:r>
        <w:t xml:space="preserve"> and </w:t>
      </w:r>
      <w:proofErr w:type="spellStart"/>
      <w:r w:rsidRPr="00E378D1">
        <w:rPr>
          <w:rStyle w:val="IntenseEmphasis"/>
        </w:rPr>
        <w:t>end</w:t>
      </w:r>
      <w:r>
        <w:rPr>
          <w:rStyle w:val="IntenseEmphasis"/>
        </w:rPr>
        <w:t>D</w:t>
      </w:r>
      <w:r w:rsidRPr="00E378D1">
        <w:rPr>
          <w:rStyle w:val="IntenseEmphasis"/>
        </w:rPr>
        <w:t>ate</w:t>
      </w:r>
      <w:proofErr w:type="spellEnd"/>
      <w:r>
        <w:t xml:space="preserve"> in YYYY-MM-DD format; </w:t>
      </w:r>
      <w:proofErr w:type="spellStart"/>
      <w:r w:rsidRPr="00E378D1">
        <w:rPr>
          <w:rStyle w:val="IntenseEmphasis"/>
        </w:rPr>
        <w:t>startDate</w:t>
      </w:r>
      <w:proofErr w:type="spellEnd"/>
      <w:r>
        <w:t xml:space="preserve"> </w:t>
      </w:r>
      <w:r w:rsidRPr="00D009A9">
        <w:t xml:space="preserve">the first day of </w:t>
      </w:r>
      <w:r>
        <w:t xml:space="preserve">the year prior to MMYY and </w:t>
      </w:r>
      <w:proofErr w:type="spellStart"/>
      <w:r w:rsidRPr="00E378D1">
        <w:rPr>
          <w:rStyle w:val="IntenseEmphasis"/>
        </w:rPr>
        <w:t>endDate</w:t>
      </w:r>
      <w:proofErr w:type="spellEnd"/>
      <w:r w:rsidRPr="00D415FC">
        <w:t xml:space="preserve"> </w:t>
      </w:r>
      <w:r>
        <w:t>the last day of two months after the MMYY. For example, for Jan 2002, 2001-01-01 and 2002-03-31.</w:t>
      </w:r>
    </w:p>
    <w:p w14:paraId="0B723C5B" w14:textId="77777777" w:rsidR="005E4196" w:rsidRDefault="005E4196" w:rsidP="005E4196"/>
    <w:p w14:paraId="38822C93" w14:textId="77777777" w:rsidR="005E4196" w:rsidRDefault="005E4196" w:rsidP="005E4196">
      <w:pPr>
        <w:jc w:val="both"/>
      </w:pPr>
      <w:r w:rsidRPr="00136141">
        <w:rPr>
          <w:rStyle w:val="IntenseReference"/>
        </w:rPr>
        <w:t>Definition</w:t>
      </w:r>
      <w:r>
        <w:t>:</w:t>
      </w:r>
      <w:r w:rsidRPr="006D360C">
        <w:t xml:space="preserve"> </w:t>
      </w:r>
      <w:r>
        <w:t>This is the monetary value of total market value of all the stock(s) of the company.</w:t>
      </w:r>
      <w:r w:rsidRPr="006D360C">
        <w:t xml:space="preserve"> </w:t>
      </w:r>
      <w:r>
        <w:t xml:space="preserve">Note that these are converted to euro. </w:t>
      </w:r>
      <w:r w:rsidRPr="004133B0">
        <w:t>Market capitalization refers to the market value of a company's equity, not its market value overall. Market capitalization is calculated by multiplying the number of shares outstanding by the current price of a single share.</w:t>
      </w:r>
    </w:p>
    <w:p w14:paraId="74F4E21C" w14:textId="77777777" w:rsidR="005E4196" w:rsidRDefault="005E4196" w:rsidP="005E4196">
      <w:pPr>
        <w:jc w:val="both"/>
      </w:pPr>
    </w:p>
    <w:p w14:paraId="71933CC9" w14:textId="77777777" w:rsidR="005E4196" w:rsidRDefault="005E4196" w:rsidP="005E4196">
      <w:pPr>
        <w:jc w:val="both"/>
      </w:pPr>
      <w:r w:rsidRPr="00180E80">
        <w:rPr>
          <w:noProof/>
        </w:rPr>
        <w:drawing>
          <wp:inline distT="0" distB="0" distL="0" distR="0" wp14:anchorId="388FEB86" wp14:editId="044B3AF1">
            <wp:extent cx="5731510" cy="24917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AB5E" w14:textId="77777777" w:rsidR="005E4196" w:rsidRDefault="005E4196" w:rsidP="005E4196">
      <w:pPr>
        <w:pStyle w:val="Title"/>
        <w:jc w:val="both"/>
      </w:pPr>
      <w:r w:rsidRPr="00C3382A">
        <w:lastRenderedPageBreak/>
        <w:t>Data Definition of DataStream</w:t>
      </w:r>
      <w:r>
        <w:t xml:space="preserve"> Data</w:t>
      </w:r>
      <w:r w:rsidRPr="00C3382A">
        <w:t xml:space="preserve">: </w:t>
      </w:r>
    </w:p>
    <w:p w14:paraId="6B18F4E9" w14:textId="77777777" w:rsidR="005E4196" w:rsidRPr="00883E37" w:rsidRDefault="005E4196" w:rsidP="005E4196">
      <w:pPr>
        <w:pStyle w:val="Subtitle"/>
      </w:pPr>
      <w:r w:rsidRPr="00C3382A">
        <w:t xml:space="preserve">Monthly </w:t>
      </w:r>
      <w:r>
        <w:t>Market Value in Euro (in year prior) – Stocks</w:t>
      </w:r>
    </w:p>
    <w:p w14:paraId="37787E97" w14:textId="77777777" w:rsidR="005E4196" w:rsidRDefault="005E4196" w:rsidP="005E4196"/>
    <w:p w14:paraId="249D28B8" w14:textId="77777777" w:rsidR="005E4196" w:rsidRDefault="005E4196" w:rsidP="005E4196">
      <w:r w:rsidRPr="005F3D74">
        <w:rPr>
          <w:rStyle w:val="IntenseReference"/>
        </w:rPr>
        <w:t>Variables that use this data</w:t>
      </w:r>
      <w:r>
        <w:t xml:space="preserve">: </w:t>
      </w:r>
    </w:p>
    <w:p w14:paraId="3C2FE7B9" w14:textId="77777777" w:rsidR="005E4196" w:rsidRDefault="005E4196" w:rsidP="005E4196">
      <w:pPr>
        <w:pStyle w:val="ListParagraph"/>
        <w:numPr>
          <w:ilvl w:val="0"/>
          <w:numId w:val="2"/>
        </w:numPr>
        <w:jc w:val="both"/>
      </w:pPr>
      <w:r>
        <w:t>Comove as an unexplained premium, robustness tests, controlling with Fama and Macbeth regressions, Main Variables: Value, noted as ln(BTM).</w:t>
      </w:r>
    </w:p>
    <w:p w14:paraId="14D9659F" w14:textId="77777777" w:rsidR="005E4196" w:rsidRPr="00114569" w:rsidRDefault="005E4196" w:rsidP="005E4196">
      <w:pPr>
        <w:pStyle w:val="ListParagraph"/>
        <w:ind w:left="360"/>
        <w:jc w:val="both"/>
        <w:rPr>
          <w:rStyle w:val="Strong"/>
          <w:b w:val="0"/>
          <w:bCs w:val="0"/>
        </w:rPr>
      </w:pPr>
    </w:p>
    <w:p w14:paraId="731C4E30" w14:textId="77777777" w:rsidR="005E4196" w:rsidRPr="00C3382A" w:rsidRDefault="005E4196" w:rsidP="005E4196">
      <w:r w:rsidRPr="005F3D74">
        <w:rPr>
          <w:rStyle w:val="IntenseReference"/>
        </w:rPr>
        <w:t>Datatype</w:t>
      </w:r>
      <w:r w:rsidRPr="00C3382A">
        <w:t>:</w:t>
      </w:r>
      <w:r>
        <w:t xml:space="preserve"> X(MVC)~E</w:t>
      </w:r>
    </w:p>
    <w:p w14:paraId="1FF087F1" w14:textId="77777777" w:rsidR="005E4196" w:rsidRPr="00136141" w:rsidRDefault="005E4196" w:rsidP="005E4196">
      <w:pPr>
        <w:jc w:val="both"/>
        <w:rPr>
          <w:b/>
          <w:bCs/>
          <w:smallCaps/>
          <w:color w:val="4472C4" w:themeColor="accent1"/>
          <w:spacing w:val="5"/>
        </w:rPr>
      </w:pPr>
      <w:r w:rsidRPr="006D360C">
        <w:rPr>
          <w:rStyle w:val="IntenseReference"/>
        </w:rPr>
        <w:t xml:space="preserve">Command: </w:t>
      </w:r>
      <w:r>
        <w:rPr>
          <w:rStyle w:val="IntenseReference"/>
        </w:rPr>
        <w:t xml:space="preserve"> </w:t>
      </w:r>
      <w:r w:rsidRPr="000348C8">
        <w:t>= DSGRID.(“LDJSTOXX</w:t>
      </w:r>
      <w:r w:rsidRPr="000348C8">
        <w:rPr>
          <w:rStyle w:val="IntenseEmphasis"/>
        </w:rPr>
        <w:t>MMYY</w:t>
      </w:r>
      <w:r w:rsidRPr="000348C8">
        <w:t>”, “</w:t>
      </w:r>
      <w:r>
        <w:t>X(MVC)~E</w:t>
      </w:r>
      <w:r w:rsidRPr="000348C8">
        <w:t>”, “</w:t>
      </w:r>
      <w:proofErr w:type="spellStart"/>
      <w:r w:rsidRPr="000348C8">
        <w:rPr>
          <w:rStyle w:val="IntenseEmphasis"/>
        </w:rPr>
        <w:t>start</w:t>
      </w:r>
      <w:r>
        <w:rPr>
          <w:rStyle w:val="IntenseEmphasis"/>
        </w:rPr>
        <w:t>D</w:t>
      </w:r>
      <w:r w:rsidRPr="000348C8">
        <w:rPr>
          <w:rStyle w:val="IntenseEmphasis"/>
        </w:rPr>
        <w:t>ate</w:t>
      </w:r>
      <w:proofErr w:type="spellEnd"/>
      <w:r w:rsidRPr="000348C8">
        <w:t>”, “</w:t>
      </w:r>
      <w:proofErr w:type="spellStart"/>
      <w:r w:rsidRPr="000348C8">
        <w:rPr>
          <w:rStyle w:val="IntenseEmphasis"/>
        </w:rPr>
        <w:t>end</w:t>
      </w:r>
      <w:r>
        <w:rPr>
          <w:rStyle w:val="IntenseEmphasis"/>
        </w:rPr>
        <w:t>Da</w:t>
      </w:r>
      <w:r w:rsidRPr="000348C8">
        <w:rPr>
          <w:rStyle w:val="IntenseEmphasis"/>
        </w:rPr>
        <w:t>te</w:t>
      </w:r>
      <w:proofErr w:type="spellEnd"/>
      <w:r w:rsidRPr="000348C8">
        <w:t>”, “M”</w:t>
      </w:r>
      <w:r>
        <w:t xml:space="preserve">, </w:t>
      </w:r>
      <w:r w:rsidRPr="000348C8">
        <w:t xml:space="preserve"> "RowHeader=true;TimeSeriesList=true;ColHeader=true;Transpose=true;DispSeriesDescription=false;YearlyTSFormat=false;QuarterlyTSFormat=false;Clearself=y;MonthlyTSFormat=True</w:t>
      </w:r>
      <w:r>
        <w:t>”)</w:t>
      </w:r>
    </w:p>
    <w:p w14:paraId="699BEFCE" w14:textId="77777777" w:rsidR="005E4196" w:rsidRDefault="005E4196" w:rsidP="005E4196">
      <w:pPr>
        <w:pStyle w:val="ListParagraph"/>
        <w:numPr>
          <w:ilvl w:val="0"/>
          <w:numId w:val="2"/>
        </w:numPr>
      </w:pPr>
      <w:r>
        <w:t xml:space="preserve">With </w:t>
      </w:r>
      <w:r w:rsidRPr="00E378D1">
        <w:rPr>
          <w:rStyle w:val="IntenseEmphasis"/>
        </w:rPr>
        <w:t>MMYY</w:t>
      </w:r>
      <w:r>
        <w:t xml:space="preserve"> the first month of each quarter, with the months ranging from 0102 until 0324.</w:t>
      </w:r>
    </w:p>
    <w:p w14:paraId="1E4BA813" w14:textId="77777777" w:rsidR="005E4196" w:rsidRPr="000348C8" w:rsidRDefault="005E4196" w:rsidP="005E4196">
      <w:pPr>
        <w:pStyle w:val="ListParagraph"/>
        <w:numPr>
          <w:ilvl w:val="0"/>
          <w:numId w:val="2"/>
        </w:numPr>
        <w:jc w:val="both"/>
      </w:pPr>
      <w:r>
        <w:t xml:space="preserve">With </w:t>
      </w:r>
      <w:proofErr w:type="spellStart"/>
      <w:r w:rsidRPr="00E378D1">
        <w:rPr>
          <w:rStyle w:val="IntenseEmphasis"/>
        </w:rPr>
        <w:t>start</w:t>
      </w:r>
      <w:r>
        <w:rPr>
          <w:rStyle w:val="IntenseEmphasis"/>
        </w:rPr>
        <w:t>D</w:t>
      </w:r>
      <w:r w:rsidRPr="00E378D1">
        <w:rPr>
          <w:rStyle w:val="IntenseEmphasis"/>
        </w:rPr>
        <w:t>ate</w:t>
      </w:r>
      <w:proofErr w:type="spellEnd"/>
      <w:r>
        <w:t xml:space="preserve"> and </w:t>
      </w:r>
      <w:proofErr w:type="spellStart"/>
      <w:r w:rsidRPr="00E378D1">
        <w:rPr>
          <w:rStyle w:val="IntenseEmphasis"/>
        </w:rPr>
        <w:t>end</w:t>
      </w:r>
      <w:r>
        <w:rPr>
          <w:rStyle w:val="IntenseEmphasis"/>
        </w:rPr>
        <w:t>D</w:t>
      </w:r>
      <w:r w:rsidRPr="00E378D1">
        <w:rPr>
          <w:rStyle w:val="IntenseEmphasis"/>
        </w:rPr>
        <w:t>ate</w:t>
      </w:r>
      <w:proofErr w:type="spellEnd"/>
      <w:r>
        <w:t xml:space="preserve"> in YYYY-MM-DD format; </w:t>
      </w:r>
      <w:proofErr w:type="spellStart"/>
      <w:r w:rsidRPr="00E378D1">
        <w:rPr>
          <w:rStyle w:val="IntenseEmphasis"/>
        </w:rPr>
        <w:t>startDate</w:t>
      </w:r>
      <w:proofErr w:type="spellEnd"/>
      <w:r>
        <w:t xml:space="preserve"> </w:t>
      </w:r>
      <w:r w:rsidRPr="00D009A9">
        <w:t xml:space="preserve">the first day of </w:t>
      </w:r>
      <w:r>
        <w:t xml:space="preserve">the year prior to MMYY and </w:t>
      </w:r>
      <w:proofErr w:type="spellStart"/>
      <w:r w:rsidRPr="00E378D1">
        <w:rPr>
          <w:rStyle w:val="IntenseEmphasis"/>
        </w:rPr>
        <w:t>endDate</w:t>
      </w:r>
      <w:proofErr w:type="spellEnd"/>
      <w:r w:rsidRPr="00D415FC">
        <w:t xml:space="preserve"> </w:t>
      </w:r>
      <w:r>
        <w:t>the last day of two months after the MMYY. For example, for Jan 2002, 2001-01-01 and 2002-03-31.</w:t>
      </w:r>
    </w:p>
    <w:p w14:paraId="577BAC81" w14:textId="77777777" w:rsidR="005E4196" w:rsidRDefault="005E4196" w:rsidP="005E4196"/>
    <w:p w14:paraId="3E95B545" w14:textId="77777777" w:rsidR="005E4196" w:rsidRDefault="005E4196" w:rsidP="005E4196">
      <w:pPr>
        <w:jc w:val="both"/>
      </w:pPr>
      <w:r w:rsidRPr="00136141">
        <w:rPr>
          <w:rStyle w:val="IntenseReference"/>
        </w:rPr>
        <w:t>Definition</w:t>
      </w:r>
      <w:r>
        <w:t>:</w:t>
      </w:r>
      <w:r w:rsidRPr="006D360C">
        <w:t xml:space="preserve"> </w:t>
      </w:r>
      <w:r>
        <w:t>This is the monetary value of total market value of the company.</w:t>
      </w:r>
      <w:r w:rsidRPr="006D360C">
        <w:t xml:space="preserve"> </w:t>
      </w:r>
      <w:r>
        <w:t>This includes equity (market capitalization), but also all other things in the company. Note that these are converted to euro and expressed in millions.</w:t>
      </w:r>
    </w:p>
    <w:p w14:paraId="1057DAD5" w14:textId="77777777" w:rsidR="005E4196" w:rsidRDefault="005E4196" w:rsidP="005E4196">
      <w:pPr>
        <w:jc w:val="both"/>
      </w:pPr>
    </w:p>
    <w:p w14:paraId="1572CACA" w14:textId="77777777" w:rsidR="005E4196" w:rsidRDefault="005E4196" w:rsidP="005E4196">
      <w:pPr>
        <w:jc w:val="both"/>
      </w:pPr>
      <w:r w:rsidRPr="00F234E1">
        <w:rPr>
          <w:noProof/>
          <w:lang w:val="en-US"/>
        </w:rPr>
        <w:lastRenderedPageBreak/>
        <w:drawing>
          <wp:inline distT="0" distB="0" distL="0" distR="0" wp14:anchorId="364B9B45" wp14:editId="0D9085D4">
            <wp:extent cx="5731510" cy="54794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5DB4" w14:textId="77777777" w:rsidR="005E4196" w:rsidRPr="000348C8" w:rsidRDefault="005E4196" w:rsidP="005E4196"/>
    <w:p w14:paraId="2749B6AE" w14:textId="77777777" w:rsidR="005E4196" w:rsidRDefault="005E4196" w:rsidP="005E4196">
      <w:r>
        <w:br w:type="page"/>
      </w:r>
    </w:p>
    <w:p w14:paraId="51F20774" w14:textId="77777777" w:rsidR="005E4196" w:rsidRDefault="005E4196" w:rsidP="005E4196">
      <w:pPr>
        <w:pStyle w:val="Title"/>
        <w:jc w:val="both"/>
      </w:pPr>
      <w:r w:rsidRPr="00C3382A">
        <w:lastRenderedPageBreak/>
        <w:t>Data Definition of DataStream</w:t>
      </w:r>
      <w:r>
        <w:t xml:space="preserve"> Data</w:t>
      </w:r>
      <w:r w:rsidRPr="00C3382A">
        <w:t xml:space="preserve">: </w:t>
      </w:r>
    </w:p>
    <w:p w14:paraId="4D14C99A" w14:textId="77777777" w:rsidR="005E4196" w:rsidRPr="00883E37" w:rsidRDefault="005E4196" w:rsidP="005E4196">
      <w:pPr>
        <w:pStyle w:val="Subtitle"/>
      </w:pPr>
      <w:r w:rsidRPr="00C3382A">
        <w:t xml:space="preserve">Monthly </w:t>
      </w:r>
      <w:r>
        <w:t>Common Equity in Euro (in year prior) – Stocks</w:t>
      </w:r>
    </w:p>
    <w:p w14:paraId="3186F855" w14:textId="77777777" w:rsidR="005E4196" w:rsidRDefault="005E4196" w:rsidP="005E4196"/>
    <w:p w14:paraId="21F19120" w14:textId="77777777" w:rsidR="005E4196" w:rsidRDefault="005E4196" w:rsidP="005E4196">
      <w:r w:rsidRPr="005F3D74">
        <w:rPr>
          <w:rStyle w:val="IntenseReference"/>
        </w:rPr>
        <w:t>Variables that use this data</w:t>
      </w:r>
      <w:r>
        <w:t xml:space="preserve">: </w:t>
      </w:r>
    </w:p>
    <w:p w14:paraId="4B592D99" w14:textId="77777777" w:rsidR="005E4196" w:rsidRDefault="005E4196" w:rsidP="005E4196">
      <w:pPr>
        <w:pStyle w:val="ListParagraph"/>
        <w:numPr>
          <w:ilvl w:val="0"/>
          <w:numId w:val="2"/>
        </w:numPr>
        <w:jc w:val="both"/>
      </w:pPr>
      <w:r>
        <w:t>Comove as an unexplained premium, robustness tests, controlling with Fama and Macbeth regressions, Main Variables: Value, noted as ln(BTM).</w:t>
      </w:r>
    </w:p>
    <w:p w14:paraId="37373088" w14:textId="77777777" w:rsidR="005E4196" w:rsidRPr="00114569" w:rsidRDefault="005E4196" w:rsidP="005E4196">
      <w:pPr>
        <w:pStyle w:val="ListParagraph"/>
        <w:ind w:left="360"/>
        <w:jc w:val="both"/>
        <w:rPr>
          <w:rStyle w:val="Strong"/>
          <w:b w:val="0"/>
          <w:bCs w:val="0"/>
        </w:rPr>
      </w:pPr>
    </w:p>
    <w:p w14:paraId="5B4DA51A" w14:textId="77777777" w:rsidR="005E4196" w:rsidRPr="00C3382A" w:rsidRDefault="005E4196" w:rsidP="005E4196">
      <w:r w:rsidRPr="005F3D74">
        <w:rPr>
          <w:rStyle w:val="IntenseReference"/>
        </w:rPr>
        <w:t>Datatype</w:t>
      </w:r>
      <w:r w:rsidRPr="00C3382A">
        <w:t>:</w:t>
      </w:r>
      <w:r>
        <w:t xml:space="preserve"> X(WC03501)~E</w:t>
      </w:r>
    </w:p>
    <w:p w14:paraId="4CC3AC2A" w14:textId="77777777" w:rsidR="005E4196" w:rsidRPr="00136141" w:rsidRDefault="005E4196" w:rsidP="005E4196">
      <w:pPr>
        <w:jc w:val="both"/>
        <w:rPr>
          <w:b/>
          <w:bCs/>
          <w:smallCaps/>
          <w:color w:val="4472C4" w:themeColor="accent1"/>
          <w:spacing w:val="5"/>
        </w:rPr>
      </w:pPr>
      <w:r w:rsidRPr="006D360C">
        <w:rPr>
          <w:rStyle w:val="IntenseReference"/>
        </w:rPr>
        <w:t xml:space="preserve">Command: </w:t>
      </w:r>
      <w:r>
        <w:rPr>
          <w:rStyle w:val="IntenseReference"/>
        </w:rPr>
        <w:t xml:space="preserve"> </w:t>
      </w:r>
      <w:r w:rsidRPr="000348C8">
        <w:t>= DSGRID.(“LDJSTOXX</w:t>
      </w:r>
      <w:r w:rsidRPr="000348C8">
        <w:rPr>
          <w:rStyle w:val="IntenseEmphasis"/>
        </w:rPr>
        <w:t>MMYY</w:t>
      </w:r>
      <w:r w:rsidRPr="000348C8">
        <w:t>”, “</w:t>
      </w:r>
      <w:r>
        <w:t>X(WC03501)~E</w:t>
      </w:r>
      <w:r w:rsidRPr="000348C8">
        <w:t>”, “</w:t>
      </w:r>
      <w:proofErr w:type="spellStart"/>
      <w:r w:rsidRPr="000348C8">
        <w:rPr>
          <w:rStyle w:val="IntenseEmphasis"/>
        </w:rPr>
        <w:t>start</w:t>
      </w:r>
      <w:r>
        <w:rPr>
          <w:rStyle w:val="IntenseEmphasis"/>
        </w:rPr>
        <w:t>D</w:t>
      </w:r>
      <w:r w:rsidRPr="000348C8">
        <w:rPr>
          <w:rStyle w:val="IntenseEmphasis"/>
        </w:rPr>
        <w:t>ate</w:t>
      </w:r>
      <w:proofErr w:type="spellEnd"/>
      <w:r w:rsidRPr="000348C8">
        <w:t>”, “</w:t>
      </w:r>
      <w:proofErr w:type="spellStart"/>
      <w:r w:rsidRPr="000348C8">
        <w:rPr>
          <w:rStyle w:val="IntenseEmphasis"/>
        </w:rPr>
        <w:t>end</w:t>
      </w:r>
      <w:r>
        <w:rPr>
          <w:rStyle w:val="IntenseEmphasis"/>
        </w:rPr>
        <w:t>Da</w:t>
      </w:r>
      <w:r w:rsidRPr="000348C8">
        <w:rPr>
          <w:rStyle w:val="IntenseEmphasis"/>
        </w:rPr>
        <w:t>te</w:t>
      </w:r>
      <w:proofErr w:type="spellEnd"/>
      <w:r w:rsidRPr="000348C8">
        <w:t>”, “M”</w:t>
      </w:r>
      <w:r>
        <w:t xml:space="preserve">, </w:t>
      </w:r>
      <w:r w:rsidRPr="000348C8">
        <w:t xml:space="preserve"> "RowHeader=true;TimeSeriesList=true;ColHeader=true;Transpose=true;DispSeriesDescription=false;YearlyTSFormat=false;QuarterlyTSFormat=false;Clearself=y;MonthlyTSFormat=True</w:t>
      </w:r>
      <w:r>
        <w:t>”)</w:t>
      </w:r>
    </w:p>
    <w:p w14:paraId="09B0994F" w14:textId="77777777" w:rsidR="005E4196" w:rsidRDefault="005E4196" w:rsidP="005E4196">
      <w:pPr>
        <w:pStyle w:val="ListParagraph"/>
        <w:numPr>
          <w:ilvl w:val="0"/>
          <w:numId w:val="2"/>
        </w:numPr>
      </w:pPr>
      <w:r>
        <w:t xml:space="preserve">With </w:t>
      </w:r>
      <w:r w:rsidRPr="00E378D1">
        <w:rPr>
          <w:rStyle w:val="IntenseEmphasis"/>
        </w:rPr>
        <w:t>MMYY</w:t>
      </w:r>
      <w:r>
        <w:t xml:space="preserve"> the first month of each quarter, with the months ranging from 0102 until 0324.</w:t>
      </w:r>
    </w:p>
    <w:p w14:paraId="56F61B34" w14:textId="77777777" w:rsidR="005E4196" w:rsidRPr="000348C8" w:rsidRDefault="005E4196" w:rsidP="005E4196">
      <w:pPr>
        <w:pStyle w:val="ListParagraph"/>
        <w:numPr>
          <w:ilvl w:val="0"/>
          <w:numId w:val="2"/>
        </w:numPr>
        <w:jc w:val="both"/>
      </w:pPr>
      <w:r>
        <w:t xml:space="preserve">With </w:t>
      </w:r>
      <w:proofErr w:type="spellStart"/>
      <w:r w:rsidRPr="00E378D1">
        <w:rPr>
          <w:rStyle w:val="IntenseEmphasis"/>
        </w:rPr>
        <w:t>start</w:t>
      </w:r>
      <w:r>
        <w:rPr>
          <w:rStyle w:val="IntenseEmphasis"/>
        </w:rPr>
        <w:t>D</w:t>
      </w:r>
      <w:r w:rsidRPr="00E378D1">
        <w:rPr>
          <w:rStyle w:val="IntenseEmphasis"/>
        </w:rPr>
        <w:t>ate</w:t>
      </w:r>
      <w:proofErr w:type="spellEnd"/>
      <w:r>
        <w:t xml:space="preserve"> and </w:t>
      </w:r>
      <w:proofErr w:type="spellStart"/>
      <w:r w:rsidRPr="00E378D1">
        <w:rPr>
          <w:rStyle w:val="IntenseEmphasis"/>
        </w:rPr>
        <w:t>end</w:t>
      </w:r>
      <w:r>
        <w:rPr>
          <w:rStyle w:val="IntenseEmphasis"/>
        </w:rPr>
        <w:t>D</w:t>
      </w:r>
      <w:r w:rsidRPr="00E378D1">
        <w:rPr>
          <w:rStyle w:val="IntenseEmphasis"/>
        </w:rPr>
        <w:t>ate</w:t>
      </w:r>
      <w:proofErr w:type="spellEnd"/>
      <w:r>
        <w:t xml:space="preserve"> in YYYY-MM-DD format; </w:t>
      </w:r>
      <w:proofErr w:type="spellStart"/>
      <w:r w:rsidRPr="00E378D1">
        <w:rPr>
          <w:rStyle w:val="IntenseEmphasis"/>
        </w:rPr>
        <w:t>startDate</w:t>
      </w:r>
      <w:proofErr w:type="spellEnd"/>
      <w:r>
        <w:t xml:space="preserve"> </w:t>
      </w:r>
      <w:r w:rsidRPr="00D009A9">
        <w:t xml:space="preserve">the first day of </w:t>
      </w:r>
      <w:r>
        <w:t xml:space="preserve">the year prior to MMYY and </w:t>
      </w:r>
      <w:proofErr w:type="spellStart"/>
      <w:r w:rsidRPr="00E378D1">
        <w:rPr>
          <w:rStyle w:val="IntenseEmphasis"/>
        </w:rPr>
        <w:t>endDate</w:t>
      </w:r>
      <w:proofErr w:type="spellEnd"/>
      <w:r w:rsidRPr="00D415FC">
        <w:t xml:space="preserve"> </w:t>
      </w:r>
      <w:r>
        <w:t>the last day of two months after the MMYY. For example, for Jan 2002, 2001-01-01 and 2002-03-31.</w:t>
      </w:r>
    </w:p>
    <w:p w14:paraId="3A7E79E0" w14:textId="77777777" w:rsidR="005E4196" w:rsidRDefault="005E4196" w:rsidP="005E4196"/>
    <w:p w14:paraId="21165401" w14:textId="77777777" w:rsidR="005E4196" w:rsidRDefault="005E4196" w:rsidP="005E4196">
      <w:pPr>
        <w:jc w:val="both"/>
      </w:pPr>
      <w:r w:rsidRPr="00136141">
        <w:rPr>
          <w:rStyle w:val="IntenseReference"/>
        </w:rPr>
        <w:t>Definition</w:t>
      </w:r>
      <w:r>
        <w:t>:</w:t>
      </w:r>
      <w:r w:rsidRPr="006D360C">
        <w:t xml:space="preserve"> </w:t>
      </w:r>
      <w:r>
        <w:t xml:space="preserve">This is </w:t>
      </w:r>
      <w:r w:rsidRPr="00383E7E">
        <w:t>the amount that all common shareholders have invested in a company</w:t>
      </w:r>
      <w:r>
        <w:t>. Note that these are converted to euro.</w:t>
      </w:r>
    </w:p>
    <w:p w14:paraId="70A164BB" w14:textId="77777777" w:rsidR="005E4196" w:rsidRDefault="005E4196" w:rsidP="005E4196">
      <w:pPr>
        <w:jc w:val="both"/>
      </w:pPr>
      <w:r w:rsidRPr="000E29B0">
        <w:rPr>
          <w:noProof/>
          <w:lang w:val="en-US"/>
        </w:rPr>
        <w:lastRenderedPageBreak/>
        <w:drawing>
          <wp:inline distT="0" distB="0" distL="0" distR="0" wp14:anchorId="7C6ACEBC" wp14:editId="2889EF65">
            <wp:extent cx="5731510" cy="52939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46E0" w14:textId="77777777" w:rsidR="005E4196" w:rsidRPr="000348C8" w:rsidRDefault="005E4196" w:rsidP="005E4196"/>
    <w:p w14:paraId="180A3D9D" w14:textId="77777777" w:rsidR="005E4196" w:rsidRDefault="005E4196" w:rsidP="005E4196">
      <w:pPr>
        <w:pStyle w:val="Title"/>
        <w:jc w:val="both"/>
      </w:pPr>
      <w:r>
        <w:br w:type="page"/>
      </w:r>
      <w:r w:rsidRPr="00C3382A">
        <w:lastRenderedPageBreak/>
        <w:t>Data Definition of DataStream</w:t>
      </w:r>
      <w:r>
        <w:t xml:space="preserve"> Data</w:t>
      </w:r>
      <w:r w:rsidRPr="00C3382A">
        <w:t xml:space="preserve">: </w:t>
      </w:r>
    </w:p>
    <w:p w14:paraId="5BEA5D11" w14:textId="77777777" w:rsidR="005E4196" w:rsidRPr="00883E37" w:rsidRDefault="005E4196" w:rsidP="005E4196">
      <w:pPr>
        <w:pStyle w:val="Subtitle"/>
      </w:pPr>
      <w:r>
        <w:t>Daily Trading Volume in Euro (in 1 year prior) – Stocks</w:t>
      </w:r>
    </w:p>
    <w:p w14:paraId="49013562" w14:textId="77777777" w:rsidR="005E4196" w:rsidRDefault="005E4196" w:rsidP="005E4196"/>
    <w:p w14:paraId="4E69D322" w14:textId="77777777" w:rsidR="005E4196" w:rsidRDefault="005E4196" w:rsidP="005E4196">
      <w:r w:rsidRPr="005F3D74">
        <w:rPr>
          <w:rStyle w:val="IntenseReference"/>
        </w:rPr>
        <w:t>Variables that use this data</w:t>
      </w:r>
      <w:r>
        <w:t xml:space="preserve">: </w:t>
      </w:r>
    </w:p>
    <w:p w14:paraId="4CD593B8" w14:textId="77777777" w:rsidR="005E4196" w:rsidRDefault="005E4196" w:rsidP="005E4196">
      <w:pPr>
        <w:pStyle w:val="ListParagraph"/>
        <w:numPr>
          <w:ilvl w:val="0"/>
          <w:numId w:val="2"/>
        </w:numPr>
        <w:jc w:val="both"/>
      </w:pPr>
      <w:r>
        <w:t>Comove as an unexplained premium, robustness tests, controlling with Fama and Macbeth regressions, other Measurements of Dependency and Volatility:</w:t>
      </w:r>
      <w:r w:rsidRPr="00E77E47">
        <w:t xml:space="preserve"> Illiquidity Ratio</w:t>
      </w:r>
      <w:r>
        <w:t xml:space="preserve">, noted as </w:t>
      </w:r>
      <w:proofErr w:type="spellStart"/>
      <w:r>
        <w:t>Amihud</w:t>
      </w:r>
      <w:proofErr w:type="spellEnd"/>
      <w:r>
        <w:t xml:space="preserve">.  </w:t>
      </w:r>
    </w:p>
    <w:p w14:paraId="3890E7EA" w14:textId="77777777" w:rsidR="005E4196" w:rsidRDefault="005E4196" w:rsidP="005E4196">
      <w:pPr>
        <w:rPr>
          <w:rStyle w:val="Strong"/>
        </w:rPr>
      </w:pPr>
    </w:p>
    <w:p w14:paraId="2A1DCF54" w14:textId="77777777" w:rsidR="005E4196" w:rsidRPr="00C3382A" w:rsidRDefault="005E4196" w:rsidP="005E4196">
      <w:r w:rsidRPr="005F3D74">
        <w:rPr>
          <w:rStyle w:val="IntenseReference"/>
        </w:rPr>
        <w:t>Datatype</w:t>
      </w:r>
      <w:r w:rsidRPr="00C3382A">
        <w:t>:</w:t>
      </w:r>
      <w:r>
        <w:t xml:space="preserve"> X(VA)~E</w:t>
      </w:r>
    </w:p>
    <w:p w14:paraId="54A7A2C1" w14:textId="77777777" w:rsidR="005E4196" w:rsidRPr="00136141" w:rsidRDefault="005E4196" w:rsidP="005E4196">
      <w:pPr>
        <w:jc w:val="both"/>
        <w:rPr>
          <w:b/>
          <w:bCs/>
          <w:smallCaps/>
          <w:color w:val="4472C4" w:themeColor="accent1"/>
          <w:spacing w:val="5"/>
        </w:rPr>
      </w:pPr>
      <w:r w:rsidRPr="006D360C">
        <w:rPr>
          <w:rStyle w:val="IntenseReference"/>
        </w:rPr>
        <w:t xml:space="preserve">Command: </w:t>
      </w:r>
      <w:r>
        <w:rPr>
          <w:rStyle w:val="IntenseReference"/>
        </w:rPr>
        <w:t xml:space="preserve"> </w:t>
      </w:r>
      <w:r w:rsidRPr="000348C8">
        <w:t>= DSGRID.(“LDJSTOXX</w:t>
      </w:r>
      <w:r w:rsidRPr="000348C8">
        <w:rPr>
          <w:rStyle w:val="IntenseEmphasis"/>
        </w:rPr>
        <w:t>MMYY</w:t>
      </w:r>
      <w:r w:rsidRPr="000348C8">
        <w:t>”, “</w:t>
      </w:r>
      <w:r>
        <w:t>X(VA)~E</w:t>
      </w:r>
      <w:r w:rsidRPr="000348C8">
        <w:t>”, “</w:t>
      </w:r>
      <w:proofErr w:type="spellStart"/>
      <w:r w:rsidRPr="000348C8">
        <w:rPr>
          <w:rStyle w:val="IntenseEmphasis"/>
        </w:rPr>
        <w:t>start</w:t>
      </w:r>
      <w:r>
        <w:rPr>
          <w:rStyle w:val="IntenseEmphasis"/>
        </w:rPr>
        <w:t>D</w:t>
      </w:r>
      <w:r w:rsidRPr="000348C8">
        <w:rPr>
          <w:rStyle w:val="IntenseEmphasis"/>
        </w:rPr>
        <w:t>ate</w:t>
      </w:r>
      <w:proofErr w:type="spellEnd"/>
      <w:r w:rsidRPr="000348C8">
        <w:t>”, “</w:t>
      </w:r>
      <w:proofErr w:type="spellStart"/>
      <w:r w:rsidRPr="000348C8">
        <w:rPr>
          <w:rStyle w:val="IntenseEmphasis"/>
        </w:rPr>
        <w:t>end</w:t>
      </w:r>
      <w:r>
        <w:rPr>
          <w:rStyle w:val="IntenseEmphasis"/>
        </w:rPr>
        <w:t>Da</w:t>
      </w:r>
      <w:r w:rsidRPr="000348C8">
        <w:rPr>
          <w:rStyle w:val="IntenseEmphasis"/>
        </w:rPr>
        <w:t>te</w:t>
      </w:r>
      <w:proofErr w:type="spellEnd"/>
      <w:r w:rsidRPr="000348C8">
        <w:t>”, “</w:t>
      </w:r>
      <w:r>
        <w:t>D</w:t>
      </w:r>
      <w:r w:rsidRPr="000348C8">
        <w:t>”</w:t>
      </w:r>
      <w:r>
        <w:t xml:space="preserve">, </w:t>
      </w:r>
      <w:r w:rsidRPr="000348C8">
        <w:t xml:space="preserve"> "RowHeader=true;TimeSeriesList=true;ColHeader=true;Transpose=true;DispSeriesDescription=false;YearlyTSFormat=false;QuarterlyTSFormat=false;Clearself=y;MonthlyTSFormat=True</w:t>
      </w:r>
      <w:r>
        <w:t>”)</w:t>
      </w:r>
    </w:p>
    <w:p w14:paraId="3E1BACC4" w14:textId="77777777" w:rsidR="005E4196" w:rsidRDefault="005E4196" w:rsidP="005E4196">
      <w:pPr>
        <w:pStyle w:val="ListParagraph"/>
        <w:numPr>
          <w:ilvl w:val="0"/>
          <w:numId w:val="2"/>
        </w:numPr>
      </w:pPr>
      <w:r>
        <w:t xml:space="preserve">With </w:t>
      </w:r>
      <w:r w:rsidRPr="00E378D1">
        <w:rPr>
          <w:rStyle w:val="IntenseEmphasis"/>
        </w:rPr>
        <w:t>MMYY</w:t>
      </w:r>
      <w:r>
        <w:t xml:space="preserve"> the first month of each quarter, with the months ranging from 0102 until 0324. </w:t>
      </w:r>
    </w:p>
    <w:p w14:paraId="46BFAF33" w14:textId="77777777" w:rsidR="005E4196" w:rsidRPr="000348C8" w:rsidRDefault="005E4196" w:rsidP="005E4196">
      <w:pPr>
        <w:pStyle w:val="ListParagraph"/>
        <w:numPr>
          <w:ilvl w:val="0"/>
          <w:numId w:val="2"/>
        </w:numPr>
        <w:jc w:val="both"/>
      </w:pPr>
      <w:r>
        <w:t xml:space="preserve">With </w:t>
      </w:r>
      <w:proofErr w:type="spellStart"/>
      <w:r w:rsidRPr="00E378D1">
        <w:rPr>
          <w:rStyle w:val="IntenseEmphasis"/>
        </w:rPr>
        <w:t>start</w:t>
      </w:r>
      <w:r>
        <w:rPr>
          <w:rStyle w:val="IntenseEmphasis"/>
        </w:rPr>
        <w:t>D</w:t>
      </w:r>
      <w:r w:rsidRPr="00E378D1">
        <w:rPr>
          <w:rStyle w:val="IntenseEmphasis"/>
        </w:rPr>
        <w:t>ate</w:t>
      </w:r>
      <w:proofErr w:type="spellEnd"/>
      <w:r>
        <w:t xml:space="preserve"> and </w:t>
      </w:r>
      <w:proofErr w:type="spellStart"/>
      <w:r w:rsidRPr="00E378D1">
        <w:rPr>
          <w:rStyle w:val="IntenseEmphasis"/>
        </w:rPr>
        <w:t>end</w:t>
      </w:r>
      <w:r>
        <w:rPr>
          <w:rStyle w:val="IntenseEmphasis"/>
        </w:rPr>
        <w:t>D</w:t>
      </w:r>
      <w:r w:rsidRPr="00E378D1">
        <w:rPr>
          <w:rStyle w:val="IntenseEmphasis"/>
        </w:rPr>
        <w:t>ate</w:t>
      </w:r>
      <w:proofErr w:type="spellEnd"/>
      <w:r>
        <w:t xml:space="preserve"> in YYYY-MM-DD format; </w:t>
      </w:r>
      <w:proofErr w:type="spellStart"/>
      <w:r w:rsidRPr="00E378D1">
        <w:rPr>
          <w:rStyle w:val="IntenseEmphasis"/>
        </w:rPr>
        <w:t>startDate</w:t>
      </w:r>
      <w:proofErr w:type="spellEnd"/>
      <w:r>
        <w:t xml:space="preserve"> the first day of the year prior to MMYY and </w:t>
      </w:r>
      <w:proofErr w:type="spellStart"/>
      <w:r w:rsidRPr="00E378D1">
        <w:rPr>
          <w:rStyle w:val="IntenseEmphasis"/>
        </w:rPr>
        <w:t>endDate</w:t>
      </w:r>
      <w:proofErr w:type="spellEnd"/>
      <w:r>
        <w:t xml:space="preserve"> the last day of two months after the MMYY. For example, for Jan 2002, 2001-01-01 and 2002-03-31.</w:t>
      </w:r>
    </w:p>
    <w:p w14:paraId="42B102C1" w14:textId="77777777" w:rsidR="005E4196" w:rsidRDefault="005E4196" w:rsidP="005E4196"/>
    <w:p w14:paraId="1BC38E0B" w14:textId="77777777" w:rsidR="005E4196" w:rsidRDefault="005E4196" w:rsidP="005E4196">
      <w:pPr>
        <w:jc w:val="both"/>
      </w:pPr>
      <w:r w:rsidRPr="00136141">
        <w:rPr>
          <w:rStyle w:val="IntenseReference"/>
        </w:rPr>
        <w:t>Definition</w:t>
      </w:r>
      <w:r>
        <w:t>:</w:t>
      </w:r>
      <w:r w:rsidRPr="006D360C">
        <w:t xml:space="preserve"> </w:t>
      </w:r>
      <w:r>
        <w:t>This is the monetary value of the shares, bonds, etc. on that particular day.</w:t>
      </w:r>
      <w:r w:rsidRPr="006D360C">
        <w:t xml:space="preserve"> </w:t>
      </w:r>
      <w:r>
        <w:t>Note that these are converted to euro.</w:t>
      </w:r>
    </w:p>
    <w:p w14:paraId="382CED00" w14:textId="77777777" w:rsidR="005E4196" w:rsidRPr="000348C8" w:rsidRDefault="005E4196" w:rsidP="005E4196"/>
    <w:p w14:paraId="2E8CEAE6" w14:textId="77777777" w:rsidR="005E4196" w:rsidRDefault="005E4196" w:rsidP="005E4196">
      <w:r w:rsidRPr="00F6473B">
        <w:rPr>
          <w:noProof/>
          <w:lang w:val="en-US"/>
        </w:rPr>
        <w:drawing>
          <wp:inline distT="0" distB="0" distL="0" distR="0" wp14:anchorId="3A41BC62" wp14:editId="06E4C3FC">
            <wp:extent cx="5731510" cy="11068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417C" w14:textId="77777777" w:rsidR="005E4196" w:rsidRDefault="005E4196" w:rsidP="005E4196">
      <w:pPr>
        <w:rPr>
          <w:rStyle w:val="IntenseEmphasis"/>
        </w:rPr>
      </w:pPr>
    </w:p>
    <w:p w14:paraId="2F822FF7" w14:textId="2A091A46" w:rsidR="005E4196" w:rsidRDefault="005E4196" w:rsidP="005E419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8874EB0" w14:textId="52F22BAB" w:rsidR="000750BF" w:rsidRDefault="000750BF" w:rsidP="000750BF">
      <w:pPr>
        <w:pStyle w:val="Title"/>
        <w:jc w:val="both"/>
      </w:pPr>
      <w:r w:rsidRPr="00C3382A">
        <w:lastRenderedPageBreak/>
        <w:t>Data Definition of DataStream</w:t>
      </w:r>
      <w:r>
        <w:t xml:space="preserve"> Data</w:t>
      </w:r>
      <w:r w:rsidRPr="00C3382A">
        <w:t xml:space="preserve">: </w:t>
      </w:r>
    </w:p>
    <w:p w14:paraId="69E290D3" w14:textId="77777777" w:rsidR="000750BF" w:rsidRPr="00883E37" w:rsidRDefault="000750BF" w:rsidP="000750BF">
      <w:pPr>
        <w:pStyle w:val="Subtitle"/>
      </w:pPr>
      <w:r w:rsidRPr="00C3382A">
        <w:t>Monthly T</w:t>
      </w:r>
      <w:r>
        <w:t>urnover (in 2 months prior) – Stocks</w:t>
      </w:r>
    </w:p>
    <w:p w14:paraId="33DAD528" w14:textId="77777777" w:rsidR="000750BF" w:rsidRDefault="000750BF" w:rsidP="000750BF"/>
    <w:p w14:paraId="6D302596" w14:textId="77777777" w:rsidR="000750BF" w:rsidRDefault="000750BF" w:rsidP="000750BF">
      <w:r w:rsidRPr="005F3D74">
        <w:rPr>
          <w:rStyle w:val="IntenseReference"/>
        </w:rPr>
        <w:t>Variables that use this data</w:t>
      </w:r>
      <w:r>
        <w:t xml:space="preserve">: </w:t>
      </w:r>
    </w:p>
    <w:p w14:paraId="6B1EE553" w14:textId="77777777" w:rsidR="000750BF" w:rsidRDefault="000750BF" w:rsidP="000750BF">
      <w:pPr>
        <w:pStyle w:val="ListParagraph"/>
        <w:numPr>
          <w:ilvl w:val="0"/>
          <w:numId w:val="2"/>
        </w:numPr>
        <w:jc w:val="both"/>
      </w:pPr>
      <w:r>
        <w:t xml:space="preserve">Comove as an unexplained premium, robustness tests, controlling with Fama and Macbeth regressions, other Measurements of Dependency and Volatility: Turnover, noted as </w:t>
      </w:r>
      <w:r w:rsidRPr="006D360C">
        <w:t>ln (turn)</w:t>
      </w:r>
      <w:r>
        <w:t>.</w:t>
      </w:r>
    </w:p>
    <w:p w14:paraId="1B50887B" w14:textId="77777777" w:rsidR="000750BF" w:rsidRDefault="000750BF" w:rsidP="000750BF">
      <w:pPr>
        <w:pStyle w:val="ListParagraph"/>
        <w:numPr>
          <w:ilvl w:val="0"/>
          <w:numId w:val="2"/>
        </w:numPr>
        <w:jc w:val="both"/>
      </w:pPr>
      <w:r>
        <w:t xml:space="preserve">Comove as an unexplained premium, robustness tests, controlling with Fama and Macbeth regressions, other Measurements of Dependency and Volatility: Difference in Turnover, noted as </w:t>
      </w:r>
      <w:r w:rsidRPr="006D360C">
        <w:t>Δ ln (turn</w:t>
      </w:r>
      <w:r>
        <w:t xml:space="preserve">). </w:t>
      </w:r>
    </w:p>
    <w:p w14:paraId="7B909CBD" w14:textId="77777777" w:rsidR="000750BF" w:rsidRDefault="000750BF" w:rsidP="000750BF">
      <w:pPr>
        <w:rPr>
          <w:rStyle w:val="Strong"/>
        </w:rPr>
      </w:pPr>
    </w:p>
    <w:p w14:paraId="75D9F87E" w14:textId="77777777" w:rsidR="000750BF" w:rsidRPr="00C3382A" w:rsidRDefault="000750BF" w:rsidP="000750BF">
      <w:r w:rsidRPr="005F3D74">
        <w:rPr>
          <w:rStyle w:val="IntenseReference"/>
        </w:rPr>
        <w:t>Datatype</w:t>
      </w:r>
      <w:r w:rsidRPr="00C3382A">
        <w:t>:</w:t>
      </w:r>
      <w:r>
        <w:t xml:space="preserve"> VO</w:t>
      </w:r>
    </w:p>
    <w:p w14:paraId="461EE119" w14:textId="77777777" w:rsidR="000750BF" w:rsidRPr="00136141" w:rsidRDefault="000750BF" w:rsidP="000750BF">
      <w:pPr>
        <w:jc w:val="both"/>
        <w:rPr>
          <w:b/>
          <w:bCs/>
          <w:smallCaps/>
          <w:color w:val="4472C4" w:themeColor="accent1"/>
          <w:spacing w:val="5"/>
        </w:rPr>
      </w:pPr>
      <w:r w:rsidRPr="006D360C">
        <w:rPr>
          <w:rStyle w:val="IntenseReference"/>
        </w:rPr>
        <w:t xml:space="preserve">Command: </w:t>
      </w:r>
      <w:r>
        <w:rPr>
          <w:rStyle w:val="IntenseReference"/>
        </w:rPr>
        <w:t xml:space="preserve"> </w:t>
      </w:r>
      <w:r w:rsidRPr="000348C8">
        <w:t>= DSGRID.(“LDJSTOXX</w:t>
      </w:r>
      <w:r w:rsidRPr="000348C8">
        <w:rPr>
          <w:rStyle w:val="IntenseEmphasis"/>
        </w:rPr>
        <w:t>MMYY</w:t>
      </w:r>
      <w:r w:rsidRPr="000348C8">
        <w:t>”, “VO”, “</w:t>
      </w:r>
      <w:proofErr w:type="spellStart"/>
      <w:r w:rsidRPr="000348C8">
        <w:rPr>
          <w:rStyle w:val="IntenseEmphasis"/>
        </w:rPr>
        <w:t>start</w:t>
      </w:r>
      <w:r>
        <w:rPr>
          <w:rStyle w:val="IntenseEmphasis"/>
        </w:rPr>
        <w:t>D</w:t>
      </w:r>
      <w:r w:rsidRPr="000348C8">
        <w:rPr>
          <w:rStyle w:val="IntenseEmphasis"/>
        </w:rPr>
        <w:t>ate</w:t>
      </w:r>
      <w:proofErr w:type="spellEnd"/>
      <w:r w:rsidRPr="000348C8">
        <w:t>”, “</w:t>
      </w:r>
      <w:proofErr w:type="spellStart"/>
      <w:r w:rsidRPr="000348C8">
        <w:rPr>
          <w:rStyle w:val="IntenseEmphasis"/>
        </w:rPr>
        <w:t>end</w:t>
      </w:r>
      <w:r>
        <w:rPr>
          <w:rStyle w:val="IntenseEmphasis"/>
        </w:rPr>
        <w:t>Da</w:t>
      </w:r>
      <w:r w:rsidRPr="000348C8">
        <w:rPr>
          <w:rStyle w:val="IntenseEmphasis"/>
        </w:rPr>
        <w:t>te</w:t>
      </w:r>
      <w:proofErr w:type="spellEnd"/>
      <w:r w:rsidRPr="000348C8">
        <w:t>”, “M”</w:t>
      </w:r>
      <w:r>
        <w:t xml:space="preserve">, </w:t>
      </w:r>
      <w:r w:rsidRPr="000348C8">
        <w:t xml:space="preserve"> "RowHeader=true;TimeSeriesList=true;ColHeader=true;Transpose=true;DispSeriesDescription=false;YearlyTSFormat=false;QuarterlyTSFormat=false;Clearself=y;MonthlyTSFormat=True</w:t>
      </w:r>
      <w:r>
        <w:t>”)</w:t>
      </w:r>
    </w:p>
    <w:p w14:paraId="29AE6881" w14:textId="77777777" w:rsidR="000750BF" w:rsidRDefault="000750BF" w:rsidP="000750BF">
      <w:pPr>
        <w:pStyle w:val="ListParagraph"/>
        <w:numPr>
          <w:ilvl w:val="0"/>
          <w:numId w:val="2"/>
        </w:numPr>
      </w:pPr>
      <w:r>
        <w:t xml:space="preserve">With </w:t>
      </w:r>
      <w:r w:rsidRPr="00E378D1">
        <w:rPr>
          <w:rStyle w:val="IntenseEmphasis"/>
        </w:rPr>
        <w:t>MMYY</w:t>
      </w:r>
      <w:r>
        <w:t xml:space="preserve"> the first month of each quarter, with the months ranging from 0102 until 0324. </w:t>
      </w:r>
    </w:p>
    <w:p w14:paraId="22EBF056" w14:textId="77777777" w:rsidR="000750BF" w:rsidRPr="000348C8" w:rsidRDefault="000750BF" w:rsidP="000750BF">
      <w:pPr>
        <w:pStyle w:val="ListParagraph"/>
        <w:numPr>
          <w:ilvl w:val="0"/>
          <w:numId w:val="2"/>
        </w:numPr>
        <w:jc w:val="both"/>
      </w:pPr>
      <w:r>
        <w:t xml:space="preserve">With </w:t>
      </w:r>
      <w:proofErr w:type="spellStart"/>
      <w:r w:rsidRPr="00E378D1">
        <w:rPr>
          <w:rStyle w:val="IntenseEmphasis"/>
        </w:rPr>
        <w:t>start</w:t>
      </w:r>
      <w:r>
        <w:rPr>
          <w:rStyle w:val="IntenseEmphasis"/>
        </w:rPr>
        <w:t>D</w:t>
      </w:r>
      <w:r w:rsidRPr="00E378D1">
        <w:rPr>
          <w:rStyle w:val="IntenseEmphasis"/>
        </w:rPr>
        <w:t>ate</w:t>
      </w:r>
      <w:proofErr w:type="spellEnd"/>
      <w:r>
        <w:t xml:space="preserve"> and </w:t>
      </w:r>
      <w:proofErr w:type="spellStart"/>
      <w:r w:rsidRPr="00E378D1">
        <w:rPr>
          <w:rStyle w:val="IntenseEmphasis"/>
        </w:rPr>
        <w:t>end</w:t>
      </w:r>
      <w:r>
        <w:rPr>
          <w:rStyle w:val="IntenseEmphasis"/>
        </w:rPr>
        <w:t>D</w:t>
      </w:r>
      <w:r w:rsidRPr="00E378D1">
        <w:rPr>
          <w:rStyle w:val="IntenseEmphasis"/>
        </w:rPr>
        <w:t>ate</w:t>
      </w:r>
      <w:proofErr w:type="spellEnd"/>
      <w:r>
        <w:t xml:space="preserve"> in YYYY-MM-DD format; </w:t>
      </w:r>
      <w:proofErr w:type="spellStart"/>
      <w:r w:rsidRPr="00E378D1">
        <w:rPr>
          <w:rStyle w:val="IntenseEmphasis"/>
        </w:rPr>
        <w:t>startDate</w:t>
      </w:r>
      <w:proofErr w:type="spellEnd"/>
      <w:r>
        <w:t xml:space="preserve"> the first day of the two months prior to MMYY and </w:t>
      </w:r>
      <w:proofErr w:type="spellStart"/>
      <w:r w:rsidRPr="00E378D1">
        <w:rPr>
          <w:rStyle w:val="IntenseEmphasis"/>
        </w:rPr>
        <w:t>endDate</w:t>
      </w:r>
      <w:proofErr w:type="spellEnd"/>
      <w:r>
        <w:t xml:space="preserve"> the last day of two months after the MMYY. For example, for Jan 2002, 2001-11-01 and 2002-03-31.</w:t>
      </w:r>
    </w:p>
    <w:p w14:paraId="506FD40E" w14:textId="77777777" w:rsidR="000750BF" w:rsidRDefault="000750BF" w:rsidP="000750BF"/>
    <w:p w14:paraId="6D26FB7E" w14:textId="77777777" w:rsidR="000750BF" w:rsidRDefault="000750BF" w:rsidP="000750BF">
      <w:pPr>
        <w:jc w:val="both"/>
      </w:pPr>
      <w:r w:rsidRPr="00136141">
        <w:rPr>
          <w:rStyle w:val="IntenseReference"/>
        </w:rPr>
        <w:t>Definition</w:t>
      </w:r>
      <w:r>
        <w:t>:</w:t>
      </w:r>
      <w:r w:rsidRPr="006D360C">
        <w:t xml:space="preserve"> </w:t>
      </w:r>
      <w:r>
        <w:t>This is the number of shares sold in that month.</w:t>
      </w:r>
      <w:r w:rsidRPr="006D360C">
        <w:t xml:space="preserve"> </w:t>
      </w:r>
      <w:r>
        <w:t>Note that these are expressed in thousands.</w:t>
      </w:r>
    </w:p>
    <w:p w14:paraId="0B8B0BE2" w14:textId="77777777" w:rsidR="000750BF" w:rsidRPr="000348C8" w:rsidRDefault="000750BF" w:rsidP="000750BF"/>
    <w:p w14:paraId="7053A15C" w14:textId="77777777" w:rsidR="000750BF" w:rsidRDefault="000750BF" w:rsidP="000750BF">
      <w:r w:rsidRPr="00393017">
        <w:rPr>
          <w:noProof/>
        </w:rPr>
        <w:drawing>
          <wp:inline distT="0" distB="0" distL="0" distR="0" wp14:anchorId="71966935" wp14:editId="324F0BD1">
            <wp:extent cx="5731510" cy="14693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3278" w14:textId="77777777" w:rsidR="000750BF" w:rsidRDefault="000750BF" w:rsidP="000750BF">
      <w:pPr>
        <w:rPr>
          <w:rStyle w:val="IntenseEmphasis"/>
        </w:rPr>
      </w:pPr>
    </w:p>
    <w:p w14:paraId="7936FCBB" w14:textId="77777777" w:rsidR="000750BF" w:rsidRPr="00C3382A" w:rsidRDefault="000750BF" w:rsidP="000750BF">
      <w:pPr>
        <w:rPr>
          <w:rStyle w:val="IntenseEmphasis"/>
        </w:rPr>
      </w:pPr>
    </w:p>
    <w:p w14:paraId="4D8A9BA7" w14:textId="77777777" w:rsidR="000750BF" w:rsidRDefault="000750BF" w:rsidP="000750BF"/>
    <w:p w14:paraId="59822A1C" w14:textId="77777777" w:rsidR="000750BF" w:rsidRDefault="000750BF" w:rsidP="000750BF">
      <w:r>
        <w:br w:type="page"/>
      </w:r>
    </w:p>
    <w:p w14:paraId="787DB55A" w14:textId="77777777" w:rsidR="002E6737" w:rsidRDefault="002E6737" w:rsidP="002E6737">
      <w:pPr>
        <w:pStyle w:val="Title"/>
        <w:jc w:val="both"/>
      </w:pPr>
      <w:r w:rsidRPr="00C3382A">
        <w:lastRenderedPageBreak/>
        <w:t>Data Definition of DataStream</w:t>
      </w:r>
      <w:r>
        <w:t xml:space="preserve"> Data</w:t>
      </w:r>
      <w:r w:rsidRPr="00C3382A">
        <w:t xml:space="preserve">: </w:t>
      </w:r>
    </w:p>
    <w:p w14:paraId="09A33B34" w14:textId="7AE071EF" w:rsidR="002E6737" w:rsidRPr="00883E37" w:rsidRDefault="002E6737" w:rsidP="002E6737">
      <w:pPr>
        <w:pStyle w:val="Subtitle"/>
      </w:pPr>
      <w:r w:rsidRPr="00C3382A">
        <w:t xml:space="preserve">Monthly </w:t>
      </w:r>
      <w:r>
        <w:t>Operating Profitability in Euro (in year prior) – Stocks</w:t>
      </w:r>
    </w:p>
    <w:p w14:paraId="5622F6F5" w14:textId="77777777" w:rsidR="002E6737" w:rsidRDefault="002E6737" w:rsidP="002E6737"/>
    <w:p w14:paraId="1668F045" w14:textId="77777777" w:rsidR="002E6737" w:rsidRDefault="002E6737" w:rsidP="002E6737">
      <w:r w:rsidRPr="005F3D74">
        <w:rPr>
          <w:rStyle w:val="IntenseReference"/>
        </w:rPr>
        <w:t>Variables that use this data</w:t>
      </w:r>
      <w:r>
        <w:t xml:space="preserve">: </w:t>
      </w:r>
    </w:p>
    <w:p w14:paraId="7B8499AB" w14:textId="385C7EF1" w:rsidR="002E6737" w:rsidRDefault="002E6737" w:rsidP="002E6737">
      <w:pPr>
        <w:pStyle w:val="ListParagraph"/>
        <w:numPr>
          <w:ilvl w:val="0"/>
          <w:numId w:val="2"/>
        </w:numPr>
        <w:jc w:val="both"/>
      </w:pPr>
      <w:r>
        <w:t>Comove as an unexplained premium, robustness tests, controlling with Fama and Macbeth regressions,</w:t>
      </w:r>
      <w:r w:rsidRPr="002E6737">
        <w:t xml:space="preserve"> Other Benchmarks, Fixed Effects and Skipped Month</w:t>
      </w:r>
      <w:r>
        <w:t xml:space="preserve">: Operating Profitability, noted as </w:t>
      </w:r>
      <w:r w:rsidR="00114569">
        <w:t>Op. Profit..</w:t>
      </w:r>
    </w:p>
    <w:p w14:paraId="4B6B400D" w14:textId="77777777" w:rsidR="00114569" w:rsidRPr="00114569" w:rsidRDefault="00114569" w:rsidP="00114569">
      <w:pPr>
        <w:pStyle w:val="ListParagraph"/>
        <w:ind w:left="360"/>
        <w:jc w:val="both"/>
        <w:rPr>
          <w:rStyle w:val="Strong"/>
          <w:b w:val="0"/>
          <w:bCs w:val="0"/>
        </w:rPr>
      </w:pPr>
    </w:p>
    <w:p w14:paraId="2908310E" w14:textId="2E549D66" w:rsidR="002E6737" w:rsidRPr="00C3382A" w:rsidRDefault="002E6737" w:rsidP="002E6737">
      <w:r w:rsidRPr="005F3D74">
        <w:rPr>
          <w:rStyle w:val="IntenseReference"/>
        </w:rPr>
        <w:t>Datatype</w:t>
      </w:r>
      <w:r w:rsidRPr="00C3382A">
        <w:t>:</w:t>
      </w:r>
      <w:r>
        <w:t xml:space="preserve"> X(WC01250)~E</w:t>
      </w:r>
    </w:p>
    <w:p w14:paraId="3A4EB5BC" w14:textId="4F57D099" w:rsidR="002E6737" w:rsidRPr="00136141" w:rsidRDefault="002E6737" w:rsidP="002E6737">
      <w:pPr>
        <w:jc w:val="both"/>
        <w:rPr>
          <w:b/>
          <w:bCs/>
          <w:smallCaps/>
          <w:color w:val="4472C4" w:themeColor="accent1"/>
          <w:spacing w:val="5"/>
        </w:rPr>
      </w:pPr>
      <w:r w:rsidRPr="006D360C">
        <w:rPr>
          <w:rStyle w:val="IntenseReference"/>
        </w:rPr>
        <w:t xml:space="preserve">Command: </w:t>
      </w:r>
      <w:r>
        <w:rPr>
          <w:rStyle w:val="IntenseReference"/>
        </w:rPr>
        <w:t xml:space="preserve"> </w:t>
      </w:r>
      <w:r w:rsidRPr="000348C8">
        <w:t>= DSGRID.(“LDJSTOXX</w:t>
      </w:r>
      <w:r w:rsidRPr="000348C8">
        <w:rPr>
          <w:rStyle w:val="IntenseEmphasis"/>
        </w:rPr>
        <w:t>MMYY</w:t>
      </w:r>
      <w:r w:rsidRPr="000348C8">
        <w:t>”, “</w:t>
      </w:r>
      <w:r>
        <w:t>X(WC01250)~E</w:t>
      </w:r>
      <w:r w:rsidRPr="000348C8">
        <w:t>”, “</w:t>
      </w:r>
      <w:proofErr w:type="spellStart"/>
      <w:r w:rsidRPr="000348C8">
        <w:rPr>
          <w:rStyle w:val="IntenseEmphasis"/>
        </w:rPr>
        <w:t>start</w:t>
      </w:r>
      <w:r>
        <w:rPr>
          <w:rStyle w:val="IntenseEmphasis"/>
        </w:rPr>
        <w:t>D</w:t>
      </w:r>
      <w:r w:rsidRPr="000348C8">
        <w:rPr>
          <w:rStyle w:val="IntenseEmphasis"/>
        </w:rPr>
        <w:t>ate</w:t>
      </w:r>
      <w:proofErr w:type="spellEnd"/>
      <w:r w:rsidRPr="000348C8">
        <w:t>”, “</w:t>
      </w:r>
      <w:proofErr w:type="spellStart"/>
      <w:r w:rsidRPr="000348C8">
        <w:rPr>
          <w:rStyle w:val="IntenseEmphasis"/>
        </w:rPr>
        <w:t>end</w:t>
      </w:r>
      <w:r>
        <w:rPr>
          <w:rStyle w:val="IntenseEmphasis"/>
        </w:rPr>
        <w:t>Da</w:t>
      </w:r>
      <w:r w:rsidRPr="000348C8">
        <w:rPr>
          <w:rStyle w:val="IntenseEmphasis"/>
        </w:rPr>
        <w:t>te</w:t>
      </w:r>
      <w:proofErr w:type="spellEnd"/>
      <w:r w:rsidRPr="000348C8">
        <w:t>”, “M”</w:t>
      </w:r>
      <w:r>
        <w:t xml:space="preserve">, </w:t>
      </w:r>
      <w:r w:rsidRPr="000348C8">
        <w:t xml:space="preserve"> "RowHeader=true;TimeSeriesList=true;ColHeader=true;Transpose=true;DispSeriesDescription=false;YearlyTSFormat=false;QuarterlyTSFormat=false;Clearself=y;MonthlyTSFormat=True</w:t>
      </w:r>
      <w:r>
        <w:t>”)</w:t>
      </w:r>
    </w:p>
    <w:p w14:paraId="789ECA5B" w14:textId="2709D95E" w:rsidR="002E6737" w:rsidRDefault="002E6737" w:rsidP="002E6737">
      <w:pPr>
        <w:pStyle w:val="ListParagraph"/>
        <w:numPr>
          <w:ilvl w:val="0"/>
          <w:numId w:val="2"/>
        </w:numPr>
      </w:pPr>
      <w:r>
        <w:t xml:space="preserve">With </w:t>
      </w:r>
      <w:r w:rsidRPr="00E378D1">
        <w:rPr>
          <w:rStyle w:val="IntenseEmphasis"/>
        </w:rPr>
        <w:t>MMYY</w:t>
      </w:r>
      <w:r>
        <w:t xml:space="preserve"> </w:t>
      </w:r>
      <w:r w:rsidR="00D415FC">
        <w:t>the first month of each quarter, with the months ranging from 0102 until 0324.</w:t>
      </w:r>
    </w:p>
    <w:p w14:paraId="7EC5F5D2" w14:textId="2EF73075" w:rsidR="002E6737" w:rsidRPr="000348C8" w:rsidRDefault="002E6737" w:rsidP="002E6737">
      <w:pPr>
        <w:pStyle w:val="ListParagraph"/>
        <w:numPr>
          <w:ilvl w:val="0"/>
          <w:numId w:val="2"/>
        </w:numPr>
        <w:jc w:val="both"/>
      </w:pPr>
      <w:r>
        <w:t xml:space="preserve">With </w:t>
      </w:r>
      <w:proofErr w:type="spellStart"/>
      <w:r w:rsidRPr="00E378D1">
        <w:rPr>
          <w:rStyle w:val="IntenseEmphasis"/>
        </w:rPr>
        <w:t>start</w:t>
      </w:r>
      <w:r>
        <w:rPr>
          <w:rStyle w:val="IntenseEmphasis"/>
        </w:rPr>
        <w:t>D</w:t>
      </w:r>
      <w:r w:rsidRPr="00E378D1">
        <w:rPr>
          <w:rStyle w:val="IntenseEmphasis"/>
        </w:rPr>
        <w:t>ate</w:t>
      </w:r>
      <w:proofErr w:type="spellEnd"/>
      <w:r>
        <w:t xml:space="preserve"> and </w:t>
      </w:r>
      <w:proofErr w:type="spellStart"/>
      <w:r w:rsidRPr="00E378D1">
        <w:rPr>
          <w:rStyle w:val="IntenseEmphasis"/>
        </w:rPr>
        <w:t>end</w:t>
      </w:r>
      <w:r>
        <w:rPr>
          <w:rStyle w:val="IntenseEmphasis"/>
        </w:rPr>
        <w:t>D</w:t>
      </w:r>
      <w:r w:rsidRPr="00E378D1">
        <w:rPr>
          <w:rStyle w:val="IntenseEmphasis"/>
        </w:rPr>
        <w:t>ate</w:t>
      </w:r>
      <w:proofErr w:type="spellEnd"/>
      <w:r>
        <w:t xml:space="preserve"> in YYYY-MM-DD format; </w:t>
      </w:r>
      <w:proofErr w:type="spellStart"/>
      <w:r w:rsidRPr="00E378D1">
        <w:rPr>
          <w:rStyle w:val="IntenseEmphasis"/>
        </w:rPr>
        <w:t>startDate</w:t>
      </w:r>
      <w:proofErr w:type="spellEnd"/>
      <w:r>
        <w:t xml:space="preserve"> the first day of the </w:t>
      </w:r>
      <w:r w:rsidR="00114569">
        <w:t xml:space="preserve">year </w:t>
      </w:r>
      <w:r>
        <w:t xml:space="preserve">prior to MMYY and </w:t>
      </w:r>
      <w:proofErr w:type="spellStart"/>
      <w:r w:rsidRPr="00E378D1">
        <w:rPr>
          <w:rStyle w:val="IntenseEmphasis"/>
        </w:rPr>
        <w:t>endDate</w:t>
      </w:r>
      <w:proofErr w:type="spellEnd"/>
      <w:r w:rsidR="00D415FC" w:rsidRPr="00D415FC">
        <w:t xml:space="preserve"> </w:t>
      </w:r>
      <w:r w:rsidR="00D415FC">
        <w:t>the last day of two months after the MMYY</w:t>
      </w:r>
      <w:r>
        <w:t>. For example, for Jan 2002, 2001-</w:t>
      </w:r>
      <w:r w:rsidR="004206B4">
        <w:t>01</w:t>
      </w:r>
      <w:r>
        <w:t>-01 and 2002-03-31.</w:t>
      </w:r>
    </w:p>
    <w:p w14:paraId="0B7487BB" w14:textId="77777777" w:rsidR="002E6737" w:rsidRDefault="002E6737" w:rsidP="002E6737"/>
    <w:p w14:paraId="1087CFF4" w14:textId="422A7FE3" w:rsidR="002E6737" w:rsidRDefault="002E6737" w:rsidP="002E6737">
      <w:pPr>
        <w:jc w:val="both"/>
      </w:pPr>
      <w:r w:rsidRPr="00136141">
        <w:rPr>
          <w:rStyle w:val="IntenseReference"/>
        </w:rPr>
        <w:t>Definition</w:t>
      </w:r>
      <w:r>
        <w:t>:</w:t>
      </w:r>
      <w:r w:rsidRPr="006D360C">
        <w:t xml:space="preserve"> </w:t>
      </w:r>
      <w:r>
        <w:t>This is the monetary value of the sales minus the operating expenses.</w:t>
      </w:r>
      <w:r w:rsidRPr="006D360C">
        <w:t xml:space="preserve"> </w:t>
      </w:r>
      <w:r>
        <w:t>Note that these are converted to euro.</w:t>
      </w:r>
    </w:p>
    <w:p w14:paraId="45416DE6" w14:textId="77777777" w:rsidR="002E6737" w:rsidRPr="000348C8" w:rsidRDefault="002E6737" w:rsidP="002E6737"/>
    <w:p w14:paraId="7A21FB79" w14:textId="0DC5C74A" w:rsidR="002E6737" w:rsidRDefault="002E6737" w:rsidP="002E6737">
      <w:r>
        <w:rPr>
          <w:noProof/>
        </w:rPr>
        <w:drawing>
          <wp:inline distT="0" distB="0" distL="0" distR="0" wp14:anchorId="777B2BFC" wp14:editId="4B535509">
            <wp:extent cx="5731510" cy="2494849"/>
            <wp:effectExtent l="0" t="0" r="2540" b="1270"/>
            <wp:docPr id="12" name="Picture 12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CBD7A" w14:textId="0CBCE505" w:rsidR="00ED5286" w:rsidRDefault="00ED5286">
      <w:r>
        <w:br w:type="page"/>
      </w:r>
    </w:p>
    <w:p w14:paraId="414AA1F1" w14:textId="77777777" w:rsidR="00ED5286" w:rsidRDefault="00ED5286" w:rsidP="00ED5286">
      <w:pPr>
        <w:pStyle w:val="Title"/>
        <w:jc w:val="both"/>
      </w:pPr>
      <w:r w:rsidRPr="00C3382A">
        <w:lastRenderedPageBreak/>
        <w:t>Data Definition of DataStream</w:t>
      </w:r>
      <w:r>
        <w:t xml:space="preserve"> Data</w:t>
      </w:r>
      <w:r w:rsidRPr="00C3382A">
        <w:t xml:space="preserve">: </w:t>
      </w:r>
    </w:p>
    <w:p w14:paraId="673364E1" w14:textId="296798DA" w:rsidR="00ED5286" w:rsidRPr="00883E37" w:rsidRDefault="00ED5286" w:rsidP="00ED5286">
      <w:pPr>
        <w:pStyle w:val="Subtitle"/>
      </w:pPr>
      <w:r w:rsidRPr="00C3382A">
        <w:t xml:space="preserve">Monthly </w:t>
      </w:r>
      <w:r>
        <w:t>Total Assets in Euro (in year prior) – Stocks</w:t>
      </w:r>
    </w:p>
    <w:p w14:paraId="39B1ECC5" w14:textId="77777777" w:rsidR="00ED5286" w:rsidRDefault="00ED5286" w:rsidP="00ED5286"/>
    <w:p w14:paraId="79D52405" w14:textId="77777777" w:rsidR="00ED5286" w:rsidRDefault="00ED5286" w:rsidP="00ED5286">
      <w:r w:rsidRPr="005F3D74">
        <w:rPr>
          <w:rStyle w:val="IntenseReference"/>
        </w:rPr>
        <w:t>Variables that use this data</w:t>
      </w:r>
      <w:r>
        <w:t xml:space="preserve">: </w:t>
      </w:r>
    </w:p>
    <w:p w14:paraId="00D3C796" w14:textId="0585AD55" w:rsidR="00ED5286" w:rsidRDefault="00ED5286" w:rsidP="00ED5286">
      <w:pPr>
        <w:pStyle w:val="ListParagraph"/>
        <w:numPr>
          <w:ilvl w:val="0"/>
          <w:numId w:val="2"/>
        </w:numPr>
        <w:jc w:val="both"/>
      </w:pPr>
      <w:r>
        <w:t>Comove as an unexplained premium, robustness tests, controlling with Fama and Macbeth regressions,</w:t>
      </w:r>
      <w:r w:rsidRPr="002E6737">
        <w:t xml:space="preserve"> Other Benchmarks, Fixed Effects and Skipped Month</w:t>
      </w:r>
      <w:r>
        <w:t>:</w:t>
      </w:r>
      <w:r w:rsidR="001D4F51">
        <w:t xml:space="preserve"> Investment</w:t>
      </w:r>
      <w:r>
        <w:t xml:space="preserve">, noted as </w:t>
      </w:r>
      <w:r w:rsidR="001D4F51">
        <w:t>Asset Growth.</w:t>
      </w:r>
    </w:p>
    <w:p w14:paraId="579C6B08" w14:textId="77777777" w:rsidR="00ED5286" w:rsidRPr="00114569" w:rsidRDefault="00ED5286" w:rsidP="00ED5286">
      <w:pPr>
        <w:pStyle w:val="ListParagraph"/>
        <w:ind w:left="360"/>
        <w:jc w:val="both"/>
        <w:rPr>
          <w:rStyle w:val="Strong"/>
          <w:b w:val="0"/>
          <w:bCs w:val="0"/>
        </w:rPr>
      </w:pPr>
    </w:p>
    <w:p w14:paraId="26C2EBD3" w14:textId="37BFCE7C" w:rsidR="00ED5286" w:rsidRPr="00C3382A" w:rsidRDefault="00ED5286" w:rsidP="00ED5286">
      <w:r w:rsidRPr="005F3D74">
        <w:rPr>
          <w:rStyle w:val="IntenseReference"/>
        </w:rPr>
        <w:t>Datatype</w:t>
      </w:r>
      <w:r w:rsidRPr="00C3382A">
        <w:t>:</w:t>
      </w:r>
      <w:r>
        <w:t xml:space="preserve"> X(WC0</w:t>
      </w:r>
      <w:r w:rsidR="001D4F51">
        <w:t>2999</w:t>
      </w:r>
      <w:r>
        <w:t>)~E</w:t>
      </w:r>
    </w:p>
    <w:p w14:paraId="1EDDBB65" w14:textId="38A895D1" w:rsidR="00ED5286" w:rsidRPr="00136141" w:rsidRDefault="00ED5286" w:rsidP="00ED5286">
      <w:pPr>
        <w:jc w:val="both"/>
        <w:rPr>
          <w:b/>
          <w:bCs/>
          <w:smallCaps/>
          <w:color w:val="4472C4" w:themeColor="accent1"/>
          <w:spacing w:val="5"/>
        </w:rPr>
      </w:pPr>
      <w:r w:rsidRPr="006D360C">
        <w:rPr>
          <w:rStyle w:val="IntenseReference"/>
        </w:rPr>
        <w:t xml:space="preserve">Command: </w:t>
      </w:r>
      <w:r>
        <w:rPr>
          <w:rStyle w:val="IntenseReference"/>
        </w:rPr>
        <w:t xml:space="preserve"> </w:t>
      </w:r>
      <w:r w:rsidRPr="000348C8">
        <w:t>= DSGRID.(“LDJSTOXX</w:t>
      </w:r>
      <w:r w:rsidRPr="000348C8">
        <w:rPr>
          <w:rStyle w:val="IntenseEmphasis"/>
        </w:rPr>
        <w:t>MMYY</w:t>
      </w:r>
      <w:r w:rsidRPr="000348C8">
        <w:t>”, “</w:t>
      </w:r>
      <w:r>
        <w:t>X(WC02</w:t>
      </w:r>
      <w:r w:rsidR="001D4F51">
        <w:t>999</w:t>
      </w:r>
      <w:r>
        <w:t>)~E</w:t>
      </w:r>
      <w:r w:rsidRPr="000348C8">
        <w:t>”, “</w:t>
      </w:r>
      <w:proofErr w:type="spellStart"/>
      <w:r w:rsidRPr="000348C8">
        <w:rPr>
          <w:rStyle w:val="IntenseEmphasis"/>
        </w:rPr>
        <w:t>start</w:t>
      </w:r>
      <w:r>
        <w:rPr>
          <w:rStyle w:val="IntenseEmphasis"/>
        </w:rPr>
        <w:t>D</w:t>
      </w:r>
      <w:r w:rsidRPr="000348C8">
        <w:rPr>
          <w:rStyle w:val="IntenseEmphasis"/>
        </w:rPr>
        <w:t>ate</w:t>
      </w:r>
      <w:proofErr w:type="spellEnd"/>
      <w:r w:rsidRPr="000348C8">
        <w:t>”, “</w:t>
      </w:r>
      <w:proofErr w:type="spellStart"/>
      <w:r w:rsidRPr="000348C8">
        <w:rPr>
          <w:rStyle w:val="IntenseEmphasis"/>
        </w:rPr>
        <w:t>end</w:t>
      </w:r>
      <w:r>
        <w:rPr>
          <w:rStyle w:val="IntenseEmphasis"/>
        </w:rPr>
        <w:t>Da</w:t>
      </w:r>
      <w:r w:rsidRPr="000348C8">
        <w:rPr>
          <w:rStyle w:val="IntenseEmphasis"/>
        </w:rPr>
        <w:t>te</w:t>
      </w:r>
      <w:proofErr w:type="spellEnd"/>
      <w:r w:rsidRPr="000348C8">
        <w:t>”, “M”</w:t>
      </w:r>
      <w:r>
        <w:t xml:space="preserve">, </w:t>
      </w:r>
      <w:r w:rsidRPr="000348C8">
        <w:t xml:space="preserve"> "RowHeader=true;TimeSeriesList=true;ColHeader=true;Transpose=true;DispSeriesDescription=false;YearlyTSFormat=false;QuarterlyTSFormat=false;Clearself=y;MonthlyTSFormat=True</w:t>
      </w:r>
      <w:r>
        <w:t>”)</w:t>
      </w:r>
    </w:p>
    <w:p w14:paraId="3B6ADEF1" w14:textId="77777777" w:rsidR="00ED5286" w:rsidRDefault="00ED5286" w:rsidP="00ED5286">
      <w:pPr>
        <w:pStyle w:val="ListParagraph"/>
        <w:numPr>
          <w:ilvl w:val="0"/>
          <w:numId w:val="2"/>
        </w:numPr>
      </w:pPr>
      <w:r>
        <w:t xml:space="preserve">With </w:t>
      </w:r>
      <w:r w:rsidRPr="00E378D1">
        <w:rPr>
          <w:rStyle w:val="IntenseEmphasis"/>
        </w:rPr>
        <w:t>MMYY</w:t>
      </w:r>
      <w:r>
        <w:t xml:space="preserve"> the first month of each quarter, with the months ranging from 0102 until 0324.</w:t>
      </w:r>
    </w:p>
    <w:p w14:paraId="0DF7A7CF" w14:textId="5F47D0AC" w:rsidR="00ED5286" w:rsidRPr="000348C8" w:rsidRDefault="00ED5286" w:rsidP="00ED5286">
      <w:pPr>
        <w:pStyle w:val="ListParagraph"/>
        <w:numPr>
          <w:ilvl w:val="0"/>
          <w:numId w:val="2"/>
        </w:numPr>
        <w:jc w:val="both"/>
      </w:pPr>
      <w:r>
        <w:t xml:space="preserve">With </w:t>
      </w:r>
      <w:proofErr w:type="spellStart"/>
      <w:r w:rsidRPr="00E378D1">
        <w:rPr>
          <w:rStyle w:val="IntenseEmphasis"/>
        </w:rPr>
        <w:t>start</w:t>
      </w:r>
      <w:r>
        <w:rPr>
          <w:rStyle w:val="IntenseEmphasis"/>
        </w:rPr>
        <w:t>D</w:t>
      </w:r>
      <w:r w:rsidRPr="00E378D1">
        <w:rPr>
          <w:rStyle w:val="IntenseEmphasis"/>
        </w:rPr>
        <w:t>ate</w:t>
      </w:r>
      <w:proofErr w:type="spellEnd"/>
      <w:r>
        <w:t xml:space="preserve"> and </w:t>
      </w:r>
      <w:proofErr w:type="spellStart"/>
      <w:r w:rsidRPr="00E378D1">
        <w:rPr>
          <w:rStyle w:val="IntenseEmphasis"/>
        </w:rPr>
        <w:t>end</w:t>
      </w:r>
      <w:r>
        <w:rPr>
          <w:rStyle w:val="IntenseEmphasis"/>
        </w:rPr>
        <w:t>D</w:t>
      </w:r>
      <w:r w:rsidRPr="00E378D1">
        <w:rPr>
          <w:rStyle w:val="IntenseEmphasis"/>
        </w:rPr>
        <w:t>ate</w:t>
      </w:r>
      <w:proofErr w:type="spellEnd"/>
      <w:r>
        <w:t xml:space="preserve"> in YYYY-MM-DD format; </w:t>
      </w:r>
      <w:proofErr w:type="spellStart"/>
      <w:r w:rsidRPr="00E378D1">
        <w:rPr>
          <w:rStyle w:val="IntenseEmphasis"/>
        </w:rPr>
        <w:t>startDate</w:t>
      </w:r>
      <w:proofErr w:type="spellEnd"/>
      <w:r>
        <w:t xml:space="preserve"> </w:t>
      </w:r>
      <w:r w:rsidR="00D009A9" w:rsidRPr="00D009A9">
        <w:t xml:space="preserve">the first day of the month that occurs </w:t>
      </w:r>
      <w:r w:rsidR="000F7273">
        <w:t xml:space="preserve">before the year prior to </w:t>
      </w:r>
      <w:r>
        <w:t xml:space="preserve">MMYY and </w:t>
      </w:r>
      <w:proofErr w:type="spellStart"/>
      <w:r w:rsidRPr="00E378D1">
        <w:rPr>
          <w:rStyle w:val="IntenseEmphasis"/>
        </w:rPr>
        <w:t>endDate</w:t>
      </w:r>
      <w:proofErr w:type="spellEnd"/>
      <w:r w:rsidRPr="00D415FC">
        <w:t xml:space="preserve"> </w:t>
      </w:r>
      <w:r>
        <w:t>the last day of two months after the MMYY. For example, for Jan 2002, 200</w:t>
      </w:r>
      <w:r w:rsidR="001D4F51">
        <w:t>0</w:t>
      </w:r>
      <w:r>
        <w:t>-</w:t>
      </w:r>
      <w:r w:rsidR="001D4F51">
        <w:t>12</w:t>
      </w:r>
      <w:r>
        <w:t>-01 and 2002-03-31.</w:t>
      </w:r>
    </w:p>
    <w:p w14:paraId="70ED6505" w14:textId="77777777" w:rsidR="00ED5286" w:rsidRDefault="00ED5286" w:rsidP="00ED5286"/>
    <w:p w14:paraId="5E497331" w14:textId="4651892F" w:rsidR="00ED5286" w:rsidRDefault="00ED5286" w:rsidP="00ED5286">
      <w:pPr>
        <w:jc w:val="both"/>
      </w:pPr>
      <w:r w:rsidRPr="00136141">
        <w:rPr>
          <w:rStyle w:val="IntenseReference"/>
        </w:rPr>
        <w:t>Definition</w:t>
      </w:r>
      <w:r>
        <w:t>:</w:t>
      </w:r>
      <w:r w:rsidRPr="006D360C">
        <w:t xml:space="preserve"> </w:t>
      </w:r>
      <w:r>
        <w:t>This is the monetary value of</w:t>
      </w:r>
      <w:r w:rsidR="001D4F51">
        <w:t xml:space="preserve"> the total assets of the company</w:t>
      </w:r>
      <w:r>
        <w:t>.</w:t>
      </w:r>
      <w:r w:rsidRPr="006D360C">
        <w:t xml:space="preserve"> </w:t>
      </w:r>
      <w:r>
        <w:t>Note that these are converted to euro.</w:t>
      </w:r>
      <w:r w:rsidR="004133B0" w:rsidRPr="004133B0">
        <w:t xml:space="preserve"> </w:t>
      </w:r>
    </w:p>
    <w:p w14:paraId="42D4FABD" w14:textId="77777777" w:rsidR="00ED5286" w:rsidRPr="000348C8" w:rsidRDefault="00ED5286" w:rsidP="00ED5286"/>
    <w:p w14:paraId="7FA3F9A0" w14:textId="5CF0DF14" w:rsidR="00ED5286" w:rsidRDefault="001D4F51" w:rsidP="00ED5286">
      <w:r w:rsidRPr="004B6936">
        <w:rPr>
          <w:noProof/>
          <w:lang w:val="en-US"/>
        </w:rPr>
        <w:lastRenderedPageBreak/>
        <w:drawing>
          <wp:inline distT="0" distB="0" distL="0" distR="0" wp14:anchorId="1FAAF19D" wp14:editId="7C03C45C">
            <wp:extent cx="5731510" cy="53968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4F5D" w14:textId="0C4C61E7" w:rsidR="00E97FBB" w:rsidRDefault="00E97FBB" w:rsidP="00E97FBB">
      <w:r>
        <w:br w:type="page"/>
      </w:r>
    </w:p>
    <w:p w14:paraId="2EF758BF" w14:textId="139F585D" w:rsidR="008228B6" w:rsidRDefault="008228B6" w:rsidP="008228B6">
      <w:pPr>
        <w:pStyle w:val="Title"/>
        <w:jc w:val="both"/>
      </w:pPr>
      <w:r w:rsidRPr="00C3382A">
        <w:lastRenderedPageBreak/>
        <w:t>Data Definition of DataStream</w:t>
      </w:r>
      <w:r>
        <w:t xml:space="preserve"> Data</w:t>
      </w:r>
      <w:r w:rsidRPr="00C3382A">
        <w:t xml:space="preserve">: </w:t>
      </w:r>
    </w:p>
    <w:p w14:paraId="62145DD1" w14:textId="2E985898" w:rsidR="008228B6" w:rsidRPr="00883E37" w:rsidRDefault="008228B6" w:rsidP="008228B6">
      <w:pPr>
        <w:pStyle w:val="Subtitle"/>
      </w:pPr>
      <w:r>
        <w:t>Industry – Stocks</w:t>
      </w:r>
    </w:p>
    <w:p w14:paraId="4260113D" w14:textId="77777777" w:rsidR="008228B6" w:rsidRDefault="008228B6" w:rsidP="008228B6"/>
    <w:p w14:paraId="7A8223BA" w14:textId="77777777" w:rsidR="008228B6" w:rsidRDefault="008228B6" w:rsidP="008228B6">
      <w:r w:rsidRPr="005F3D74">
        <w:rPr>
          <w:rStyle w:val="IntenseReference"/>
        </w:rPr>
        <w:t>Variables that use this data</w:t>
      </w:r>
      <w:r>
        <w:t xml:space="preserve">: </w:t>
      </w:r>
    </w:p>
    <w:p w14:paraId="6C19308D" w14:textId="081B2BC9" w:rsidR="008228B6" w:rsidRDefault="008228B6" w:rsidP="008228B6">
      <w:pPr>
        <w:pStyle w:val="ListParagraph"/>
        <w:numPr>
          <w:ilvl w:val="0"/>
          <w:numId w:val="2"/>
        </w:numPr>
        <w:jc w:val="both"/>
      </w:pPr>
      <w:r>
        <w:t xml:space="preserve">Comove as an unexplained premium, robustness tests, controlling with Fama and Macbeth regressions, </w:t>
      </w:r>
      <w:r w:rsidRPr="008228B6">
        <w:t>Other Benchmarks, Fixed Effects and Skipped Month</w:t>
      </w:r>
      <w:r>
        <w:t>: Fixed Industry Effects, with dummy variables.</w:t>
      </w:r>
    </w:p>
    <w:p w14:paraId="56C29D3D" w14:textId="77777777" w:rsidR="008228B6" w:rsidRPr="008228B6" w:rsidRDefault="008228B6" w:rsidP="008228B6">
      <w:pPr>
        <w:pStyle w:val="ListParagraph"/>
        <w:ind w:left="360"/>
        <w:jc w:val="both"/>
        <w:rPr>
          <w:rStyle w:val="Strong"/>
          <w:b w:val="0"/>
          <w:bCs w:val="0"/>
        </w:rPr>
      </w:pPr>
    </w:p>
    <w:p w14:paraId="1D688EE1" w14:textId="5093289A" w:rsidR="008228B6" w:rsidRPr="00C3382A" w:rsidRDefault="008228B6" w:rsidP="008228B6">
      <w:r w:rsidRPr="005F3D74">
        <w:rPr>
          <w:rStyle w:val="IntenseReference"/>
        </w:rPr>
        <w:t>Datatype</w:t>
      </w:r>
      <w:r w:rsidRPr="00C3382A">
        <w:t>:</w:t>
      </w:r>
      <w:r>
        <w:t xml:space="preserve"> INDM</w:t>
      </w:r>
    </w:p>
    <w:p w14:paraId="15A2D7BB" w14:textId="77777777" w:rsidR="008228B6" w:rsidRDefault="008228B6" w:rsidP="008228B6">
      <w:pPr>
        <w:jc w:val="both"/>
      </w:pPr>
      <w:r w:rsidRPr="006D360C">
        <w:rPr>
          <w:rStyle w:val="IntenseReference"/>
        </w:rPr>
        <w:t xml:space="preserve">Command: </w:t>
      </w:r>
      <w:r>
        <w:rPr>
          <w:rStyle w:val="IntenseReference"/>
        </w:rPr>
        <w:t xml:space="preserve"> </w:t>
      </w:r>
      <w:r w:rsidRPr="008228B6">
        <w:t>=DSGRID("</w:t>
      </w:r>
      <w:proofErr w:type="spellStart"/>
      <w:r w:rsidRPr="008228B6">
        <w:t>LDJSTOXX</w:t>
      </w:r>
      <w:r w:rsidRPr="000348C8">
        <w:rPr>
          <w:rStyle w:val="IntenseEmphasis"/>
        </w:rPr>
        <w:t>MMYY</w:t>
      </w:r>
      <w:r w:rsidRPr="008228B6">
        <w:t>","NAME;INDM","Latest</w:t>
      </w:r>
      <w:proofErr w:type="spellEnd"/>
      <w:r w:rsidRPr="008228B6">
        <w:t xml:space="preserve"> Value","","","RowHeader=true;ColHeader=true;Transpose=true;DispSeriesDescription=false;DispDatatypeDescription=false;Clearself=y</w:t>
      </w:r>
      <w:r>
        <w:t>”</w:t>
      </w:r>
      <w:r w:rsidRPr="008228B6">
        <w:t xml:space="preserve">) </w:t>
      </w:r>
    </w:p>
    <w:p w14:paraId="1C48040C" w14:textId="36B695F0" w:rsidR="008228B6" w:rsidRDefault="008228B6" w:rsidP="008228B6">
      <w:pPr>
        <w:pStyle w:val="ListParagraph"/>
        <w:numPr>
          <w:ilvl w:val="0"/>
          <w:numId w:val="3"/>
        </w:numPr>
        <w:jc w:val="both"/>
      </w:pPr>
      <w:r>
        <w:t xml:space="preserve">With </w:t>
      </w:r>
      <w:r w:rsidRPr="00E378D1">
        <w:rPr>
          <w:rStyle w:val="IntenseEmphasis"/>
        </w:rPr>
        <w:t>MMYY</w:t>
      </w:r>
      <w:r>
        <w:t xml:space="preserve"> the first month of each quarter, with the months ranging from 0102 until 0324.</w:t>
      </w:r>
    </w:p>
    <w:p w14:paraId="73459957" w14:textId="77777777" w:rsidR="008228B6" w:rsidRDefault="008228B6" w:rsidP="008228B6"/>
    <w:p w14:paraId="50189777" w14:textId="08D3B979" w:rsidR="008228B6" w:rsidRDefault="008228B6" w:rsidP="008228B6">
      <w:pPr>
        <w:jc w:val="both"/>
      </w:pPr>
      <w:r w:rsidRPr="00136141">
        <w:rPr>
          <w:rStyle w:val="IntenseReference"/>
        </w:rPr>
        <w:t>Definition</w:t>
      </w:r>
      <w:r>
        <w:t>:</w:t>
      </w:r>
      <w:r w:rsidRPr="006D360C">
        <w:t xml:space="preserve"> </w:t>
      </w:r>
      <w:r>
        <w:t xml:space="preserve">This is </w:t>
      </w:r>
      <w:r w:rsidR="00617E2C">
        <w:t xml:space="preserve">the name of the industry the company is active in. </w:t>
      </w:r>
    </w:p>
    <w:p w14:paraId="3EE9609A" w14:textId="3057FF55" w:rsidR="00E97FBB" w:rsidRDefault="00E97FBB" w:rsidP="00383E7E">
      <w:r>
        <w:br w:type="page"/>
      </w:r>
      <w:r w:rsidR="008228B6" w:rsidRPr="00497FA6">
        <w:rPr>
          <w:noProof/>
          <w:lang w:val="en-US"/>
        </w:rPr>
        <w:lastRenderedPageBreak/>
        <w:drawing>
          <wp:inline distT="0" distB="0" distL="0" distR="0" wp14:anchorId="3AEB3B24" wp14:editId="6D48B70E">
            <wp:extent cx="5731510" cy="50577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9729" w14:textId="77777777" w:rsidR="00617E2C" w:rsidRDefault="00617E2C">
      <w:r>
        <w:br w:type="page"/>
      </w:r>
    </w:p>
    <w:p w14:paraId="09EDB58C" w14:textId="77777777" w:rsidR="00617E2C" w:rsidRDefault="00617E2C" w:rsidP="00617E2C">
      <w:pPr>
        <w:pStyle w:val="Title"/>
        <w:jc w:val="both"/>
      </w:pPr>
      <w:r w:rsidRPr="00C3382A">
        <w:lastRenderedPageBreak/>
        <w:t>Data Definition of DataStream</w:t>
      </w:r>
      <w:r>
        <w:t xml:space="preserve"> Data</w:t>
      </w:r>
      <w:r w:rsidRPr="00C3382A">
        <w:t xml:space="preserve">: </w:t>
      </w:r>
    </w:p>
    <w:p w14:paraId="7F5A716E" w14:textId="26218905" w:rsidR="00617E2C" w:rsidRPr="00883E37" w:rsidRDefault="00617E2C" w:rsidP="00617E2C">
      <w:pPr>
        <w:pStyle w:val="Subtitle"/>
      </w:pPr>
      <w:r>
        <w:t>Exchange – Stocks</w:t>
      </w:r>
    </w:p>
    <w:p w14:paraId="4BBE8FCB" w14:textId="77777777" w:rsidR="00617E2C" w:rsidRDefault="00617E2C" w:rsidP="00617E2C"/>
    <w:p w14:paraId="689F4685" w14:textId="77777777" w:rsidR="00617E2C" w:rsidRDefault="00617E2C" w:rsidP="00617E2C">
      <w:r w:rsidRPr="005F3D74">
        <w:rPr>
          <w:rStyle w:val="IntenseReference"/>
        </w:rPr>
        <w:t>Variables that use this data</w:t>
      </w:r>
      <w:r>
        <w:t xml:space="preserve">: </w:t>
      </w:r>
    </w:p>
    <w:p w14:paraId="41614C1C" w14:textId="3F1EB819" w:rsidR="00617E2C" w:rsidRDefault="00617E2C" w:rsidP="00617E2C">
      <w:pPr>
        <w:pStyle w:val="ListParagraph"/>
        <w:numPr>
          <w:ilvl w:val="0"/>
          <w:numId w:val="2"/>
        </w:numPr>
        <w:jc w:val="both"/>
      </w:pPr>
      <w:r>
        <w:t xml:space="preserve">Comove as an unexplained premium, robustness tests, controlling with Fama and Macbeth regressions, </w:t>
      </w:r>
      <w:r w:rsidRPr="008228B6">
        <w:t>Other Benchmarks, Fixed Effects and Skipped Month</w:t>
      </w:r>
      <w:r>
        <w:t>: Fixed Exchange Effects, with dummy variables.</w:t>
      </w:r>
    </w:p>
    <w:p w14:paraId="6C59186C" w14:textId="072B93CB" w:rsidR="00617E2C" w:rsidRDefault="00617E2C" w:rsidP="00617E2C">
      <w:pPr>
        <w:pStyle w:val="ListParagraph"/>
        <w:numPr>
          <w:ilvl w:val="0"/>
          <w:numId w:val="2"/>
        </w:numPr>
        <w:jc w:val="both"/>
      </w:pPr>
      <w:r>
        <w:t xml:space="preserve">Comove as an unexplained premium, robustness tests, controlling with Fama and Macbeth regressions, </w:t>
      </w:r>
      <w:r w:rsidRPr="00617E2C">
        <w:t>Varying the Comove Measure and the Sample</w:t>
      </w:r>
      <w:r>
        <w:t xml:space="preserve">: Excluding certain Exchanges from the sample. </w:t>
      </w:r>
    </w:p>
    <w:p w14:paraId="4CB1A84F" w14:textId="77777777" w:rsidR="00617E2C" w:rsidRPr="008228B6" w:rsidRDefault="00617E2C" w:rsidP="00617E2C">
      <w:pPr>
        <w:pStyle w:val="ListParagraph"/>
        <w:ind w:left="360"/>
        <w:jc w:val="both"/>
        <w:rPr>
          <w:rStyle w:val="Strong"/>
          <w:b w:val="0"/>
          <w:bCs w:val="0"/>
        </w:rPr>
      </w:pPr>
    </w:p>
    <w:p w14:paraId="5692CC3E" w14:textId="0D8A7E87" w:rsidR="00617E2C" w:rsidRPr="00C3382A" w:rsidRDefault="00617E2C" w:rsidP="00617E2C">
      <w:r w:rsidRPr="005F3D74">
        <w:rPr>
          <w:rStyle w:val="IntenseReference"/>
        </w:rPr>
        <w:t>Datatype</w:t>
      </w:r>
      <w:r w:rsidRPr="00C3382A">
        <w:t>:</w:t>
      </w:r>
      <w:r>
        <w:t xml:space="preserve"> EXDSCD</w:t>
      </w:r>
    </w:p>
    <w:p w14:paraId="58B255CA" w14:textId="18ECD19B" w:rsidR="00617E2C" w:rsidRDefault="00617E2C" w:rsidP="00617E2C">
      <w:pPr>
        <w:jc w:val="both"/>
      </w:pPr>
      <w:r w:rsidRPr="006D360C">
        <w:rPr>
          <w:rStyle w:val="IntenseReference"/>
        </w:rPr>
        <w:t xml:space="preserve">Command: </w:t>
      </w:r>
      <w:r>
        <w:rPr>
          <w:rStyle w:val="IntenseReference"/>
        </w:rPr>
        <w:t xml:space="preserve"> </w:t>
      </w:r>
      <w:r w:rsidRPr="008228B6">
        <w:t>=DSGRID("</w:t>
      </w:r>
      <w:proofErr w:type="spellStart"/>
      <w:r w:rsidRPr="008228B6">
        <w:t>LDJSTOXX</w:t>
      </w:r>
      <w:r w:rsidRPr="000348C8">
        <w:rPr>
          <w:rStyle w:val="IntenseEmphasis"/>
        </w:rPr>
        <w:t>MMYY</w:t>
      </w:r>
      <w:r w:rsidRPr="008228B6">
        <w:t>","NAME;</w:t>
      </w:r>
      <w:r>
        <w:t>EXDSCD</w:t>
      </w:r>
      <w:r w:rsidRPr="008228B6">
        <w:t>","Latest</w:t>
      </w:r>
      <w:proofErr w:type="spellEnd"/>
      <w:r w:rsidRPr="008228B6">
        <w:t xml:space="preserve"> Value","","","RowHeader=true;ColHeader=true;Transpose=true;DispSeriesDescription=false;DispDatatypeDescription=false;Clearself=y</w:t>
      </w:r>
      <w:r>
        <w:t>”</w:t>
      </w:r>
      <w:r w:rsidRPr="008228B6">
        <w:t xml:space="preserve">) </w:t>
      </w:r>
    </w:p>
    <w:p w14:paraId="4C921C78" w14:textId="77777777" w:rsidR="00617E2C" w:rsidRDefault="00617E2C" w:rsidP="00617E2C">
      <w:pPr>
        <w:pStyle w:val="ListParagraph"/>
        <w:numPr>
          <w:ilvl w:val="0"/>
          <w:numId w:val="3"/>
        </w:numPr>
        <w:jc w:val="both"/>
      </w:pPr>
      <w:r>
        <w:t xml:space="preserve">With </w:t>
      </w:r>
      <w:r w:rsidRPr="00E378D1">
        <w:rPr>
          <w:rStyle w:val="IntenseEmphasis"/>
        </w:rPr>
        <w:t>MMYY</w:t>
      </w:r>
      <w:r>
        <w:t xml:space="preserve"> the first month of each quarter, with the months ranging from 0102 until 0324.</w:t>
      </w:r>
    </w:p>
    <w:p w14:paraId="1C5B0BA0" w14:textId="77777777" w:rsidR="00617E2C" w:rsidRDefault="00617E2C" w:rsidP="00617E2C"/>
    <w:p w14:paraId="6BD9BF68" w14:textId="5AE1E1BB" w:rsidR="00617E2C" w:rsidRDefault="00617E2C" w:rsidP="00617E2C">
      <w:pPr>
        <w:jc w:val="both"/>
      </w:pPr>
      <w:r w:rsidRPr="00136141">
        <w:rPr>
          <w:rStyle w:val="IntenseReference"/>
        </w:rPr>
        <w:t>Definition</w:t>
      </w:r>
      <w:r>
        <w:t>:</w:t>
      </w:r>
      <w:r w:rsidRPr="006D360C">
        <w:t xml:space="preserve"> </w:t>
      </w:r>
      <w:r>
        <w:t>This is the name of the stock exchange the company is listed on.</w:t>
      </w:r>
    </w:p>
    <w:p w14:paraId="0B0D9F80" w14:textId="77777777" w:rsidR="00617E2C" w:rsidRDefault="00617E2C" w:rsidP="00617E2C">
      <w:pPr>
        <w:jc w:val="both"/>
      </w:pPr>
    </w:p>
    <w:p w14:paraId="4EF8972F" w14:textId="31CCD2B9" w:rsidR="00617E2C" w:rsidRDefault="00617E2C" w:rsidP="00617E2C">
      <w:pPr>
        <w:jc w:val="both"/>
      </w:pPr>
      <w:r w:rsidRPr="00497FA6">
        <w:rPr>
          <w:noProof/>
          <w:lang w:val="en-US"/>
        </w:rPr>
        <w:drawing>
          <wp:inline distT="0" distB="0" distL="0" distR="0" wp14:anchorId="19BCC539" wp14:editId="79E6D027">
            <wp:extent cx="5731510" cy="32397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C33A" w14:textId="45F7C6A6" w:rsidR="00BD7B43" w:rsidRDefault="00BD7B43">
      <w:r>
        <w:br w:type="page"/>
      </w:r>
    </w:p>
    <w:p w14:paraId="4D8CA931" w14:textId="77777777" w:rsidR="00C3382A" w:rsidRPr="00C3382A" w:rsidRDefault="00C3382A"/>
    <w:sectPr w:rsidR="00C3382A" w:rsidRPr="00C3382A" w:rsidSect="00AD1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una Geens" w:date="2024-05-17T20:33:00Z" w:initials="LG">
    <w:p w14:paraId="3C9AC139" w14:textId="77777777" w:rsidR="00666326" w:rsidRDefault="00666326" w:rsidP="008B4B22">
      <w:pPr>
        <w:pStyle w:val="CommentText"/>
      </w:pPr>
      <w:r>
        <w:rPr>
          <w:rStyle w:val="CommentReference"/>
        </w:rPr>
        <w:annotationRef/>
      </w:r>
      <w:r>
        <w:t>Dit moet eigenlijk allemaal 23 zijn maar heb dat verkeerd ingetypt in datastream</w:t>
      </w:r>
    </w:p>
  </w:comment>
  <w:comment w:id="1" w:author="Luna Geens" w:date="2024-05-17T21:12:00Z" w:initials="LG">
    <w:p w14:paraId="25A46AC8" w14:textId="77777777" w:rsidR="00E638AD" w:rsidRDefault="00E638AD" w:rsidP="003818F5">
      <w:pPr>
        <w:pStyle w:val="CommentText"/>
      </w:pPr>
      <w:r>
        <w:rPr>
          <w:rStyle w:val="CommentReference"/>
        </w:rPr>
        <w:annotationRef/>
      </w:r>
      <w:r>
        <w:t>Factor data</w:t>
      </w:r>
    </w:p>
  </w:comment>
  <w:comment w:id="2" w:author="Luna Geens" w:date="2024-05-15T15:08:00Z" w:initials="LG">
    <w:p w14:paraId="63C8A823" w14:textId="654AF78F" w:rsidR="009B511A" w:rsidRDefault="009B511A" w:rsidP="00732525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3" w:author="Luna Geens" w:date="2024-05-15T15:10:00Z" w:initials="LG">
    <w:p w14:paraId="27D0F14A" w14:textId="77777777" w:rsidR="009B511A" w:rsidRDefault="009B511A" w:rsidP="009703B9">
      <w:pPr>
        <w:pStyle w:val="CommentText"/>
      </w:pPr>
      <w:r>
        <w:rPr>
          <w:rStyle w:val="CommentReference"/>
        </w:rPr>
        <w:annotationRef/>
      </w:r>
      <w:r>
        <w:t>Heel main results nog effe aanpassen en dan dit doc tussen splitsen zetten</w:t>
      </w:r>
    </w:p>
  </w:comment>
  <w:comment w:id="4" w:author="Luna Geens" w:date="2024-05-15T15:33:00Z" w:initials="LG">
    <w:p w14:paraId="347DD88B" w14:textId="77777777" w:rsidR="000D2161" w:rsidRDefault="000D2161" w:rsidP="00FC436B">
      <w:pPr>
        <w:pStyle w:val="CommentText"/>
      </w:pPr>
      <w:r>
        <w:rPr>
          <w:rStyle w:val="CommentReference"/>
        </w:rPr>
        <w:annotationRef/>
      </w:r>
      <w:r>
        <w:t>Dit nog is nakijken, not sure hiervan buiten bij fama al nagekeken</w:t>
      </w:r>
    </w:p>
  </w:comment>
  <w:comment w:id="5" w:author="Luna Geens" w:date="2024-05-15T15:33:00Z" w:initials="LG">
    <w:p w14:paraId="54A10D68" w14:textId="77777777" w:rsidR="00A55175" w:rsidRDefault="00A55175" w:rsidP="00A55175">
      <w:pPr>
        <w:pStyle w:val="CommentText"/>
      </w:pPr>
      <w:r>
        <w:rPr>
          <w:rStyle w:val="CommentReference"/>
        </w:rPr>
        <w:annotationRef/>
      </w:r>
      <w:r>
        <w:t>Dit nog is nakijken, not sure hiervan buiten bij fama al nagekeken</w:t>
      </w:r>
    </w:p>
  </w:comment>
  <w:comment w:id="6" w:author="Luna Geens" w:date="2024-05-15T15:08:00Z" w:initials="LG">
    <w:p w14:paraId="09994776" w14:textId="77777777" w:rsidR="008C18AA" w:rsidRDefault="008C18AA" w:rsidP="008C18AA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7" w:author="Luna Geens" w:date="2024-05-15T15:10:00Z" w:initials="LG">
    <w:p w14:paraId="58572D1E" w14:textId="77777777" w:rsidR="008C18AA" w:rsidRDefault="008C18AA" w:rsidP="008C18AA">
      <w:pPr>
        <w:pStyle w:val="CommentText"/>
      </w:pPr>
      <w:r>
        <w:rPr>
          <w:rStyle w:val="CommentReference"/>
        </w:rPr>
        <w:annotationRef/>
      </w:r>
      <w:r>
        <w:t>Heel main results nog effe aanpassen en dan dit doc tussen splitsen zetten</w:t>
      </w:r>
    </w:p>
  </w:comment>
  <w:comment w:id="8" w:author="Luna Geens" w:date="2024-05-15T15:33:00Z" w:initials="LG">
    <w:p w14:paraId="236ABB08" w14:textId="77777777" w:rsidR="008C18AA" w:rsidRDefault="008C18AA" w:rsidP="008C18AA">
      <w:pPr>
        <w:pStyle w:val="CommentText"/>
      </w:pPr>
      <w:r>
        <w:rPr>
          <w:rStyle w:val="CommentReference"/>
        </w:rPr>
        <w:annotationRef/>
      </w:r>
      <w:r>
        <w:t>Dit nog is nakijken, not sure hiervan buiten bij fama al nagekeken</w:t>
      </w:r>
    </w:p>
  </w:comment>
  <w:comment w:id="9" w:author="Luna Geens" w:date="2024-05-15T15:08:00Z" w:initials="LG">
    <w:p w14:paraId="787EB293" w14:textId="77777777" w:rsidR="00107021" w:rsidRDefault="00107021" w:rsidP="00107021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10" w:author="Luna Geens" w:date="2024-05-15T15:10:00Z" w:initials="LG">
    <w:p w14:paraId="2F95B880" w14:textId="77777777" w:rsidR="00107021" w:rsidRDefault="00107021" w:rsidP="00107021">
      <w:pPr>
        <w:pStyle w:val="CommentText"/>
      </w:pPr>
      <w:r>
        <w:rPr>
          <w:rStyle w:val="CommentReference"/>
        </w:rPr>
        <w:annotationRef/>
      </w:r>
      <w:r>
        <w:t>Heel main results nog effe aanpassen en dan dit doc tussen splitsen zetten</w:t>
      </w:r>
    </w:p>
  </w:comment>
  <w:comment w:id="11" w:author="Luna Geens" w:date="2024-05-15T15:33:00Z" w:initials="LG">
    <w:p w14:paraId="1DD3CD29" w14:textId="77777777" w:rsidR="00107021" w:rsidRDefault="00107021" w:rsidP="00107021">
      <w:pPr>
        <w:pStyle w:val="CommentText"/>
      </w:pPr>
      <w:r>
        <w:rPr>
          <w:rStyle w:val="CommentReference"/>
        </w:rPr>
        <w:annotationRef/>
      </w:r>
      <w:r>
        <w:t>Dit nog is nakijken, not sure hiervan buiten bij fama al nagekeken</w:t>
      </w:r>
    </w:p>
  </w:comment>
  <w:comment w:id="12" w:author="Luna Geens" w:date="2024-05-15T15:08:00Z" w:initials="LG">
    <w:p w14:paraId="5AA9A750" w14:textId="77777777" w:rsidR="00107021" w:rsidRDefault="00107021" w:rsidP="00107021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13" w:author="Luna Geens" w:date="2024-05-15T15:10:00Z" w:initials="LG">
    <w:p w14:paraId="39847FCE" w14:textId="77777777" w:rsidR="00107021" w:rsidRDefault="00107021" w:rsidP="00107021">
      <w:pPr>
        <w:pStyle w:val="CommentText"/>
      </w:pPr>
      <w:r>
        <w:rPr>
          <w:rStyle w:val="CommentReference"/>
        </w:rPr>
        <w:annotationRef/>
      </w:r>
      <w:r>
        <w:t>Heel main results nog effe aanpassen en dan dit doc tussen splitsen zetten</w:t>
      </w:r>
    </w:p>
  </w:comment>
  <w:comment w:id="14" w:author="Luna Geens" w:date="2024-05-15T15:33:00Z" w:initials="LG">
    <w:p w14:paraId="2B27D036" w14:textId="77777777" w:rsidR="00107021" w:rsidRDefault="00107021" w:rsidP="00107021">
      <w:pPr>
        <w:pStyle w:val="CommentText"/>
      </w:pPr>
      <w:r>
        <w:rPr>
          <w:rStyle w:val="CommentReference"/>
        </w:rPr>
        <w:annotationRef/>
      </w:r>
      <w:r>
        <w:t>Dit nog is nakijken, not sure hiervan buiten bij fama al nagekeken</w:t>
      </w:r>
    </w:p>
  </w:comment>
  <w:comment w:id="15" w:author="Luna Geens" w:date="2024-05-15T15:08:00Z" w:initials="LG">
    <w:p w14:paraId="777B135F" w14:textId="77777777" w:rsidR="0013162C" w:rsidRDefault="0013162C" w:rsidP="0013162C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16" w:author="Luna Geens" w:date="2024-05-15T15:10:00Z" w:initials="LG">
    <w:p w14:paraId="47A31E65" w14:textId="77777777" w:rsidR="0013162C" w:rsidRDefault="0013162C" w:rsidP="0013162C">
      <w:pPr>
        <w:pStyle w:val="CommentText"/>
      </w:pPr>
      <w:r>
        <w:rPr>
          <w:rStyle w:val="CommentReference"/>
        </w:rPr>
        <w:annotationRef/>
      </w:r>
      <w:r>
        <w:t>Heel main results nog effe aanpassen en dan dit doc tussen splitsen zetten</w:t>
      </w:r>
    </w:p>
  </w:comment>
  <w:comment w:id="17" w:author="Luna Geens" w:date="2024-05-15T15:33:00Z" w:initials="LG">
    <w:p w14:paraId="57D1DE55" w14:textId="77777777" w:rsidR="0013162C" w:rsidRDefault="0013162C" w:rsidP="0013162C">
      <w:pPr>
        <w:pStyle w:val="CommentText"/>
      </w:pPr>
      <w:r>
        <w:rPr>
          <w:rStyle w:val="CommentReference"/>
        </w:rPr>
        <w:annotationRef/>
      </w:r>
      <w:r>
        <w:t>Dit nog is nakijken, not sure hiervan buiten bij fama al nagekeken</w:t>
      </w:r>
    </w:p>
  </w:comment>
  <w:comment w:id="18" w:author="Luna Geens" w:date="2024-05-15T15:08:00Z" w:initials="LG">
    <w:p w14:paraId="74993756" w14:textId="77777777" w:rsidR="0013162C" w:rsidRDefault="0013162C" w:rsidP="0013162C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19" w:author="Luna Geens" w:date="2024-05-15T15:10:00Z" w:initials="LG">
    <w:p w14:paraId="34ECD6A7" w14:textId="77777777" w:rsidR="0013162C" w:rsidRDefault="0013162C" w:rsidP="0013162C">
      <w:pPr>
        <w:pStyle w:val="CommentText"/>
      </w:pPr>
      <w:r>
        <w:rPr>
          <w:rStyle w:val="CommentReference"/>
        </w:rPr>
        <w:annotationRef/>
      </w:r>
      <w:r>
        <w:t>Heel main results nog effe aanpassen en dan dit doc tussen splitsen zetten</w:t>
      </w:r>
    </w:p>
  </w:comment>
  <w:comment w:id="20" w:author="Luna Geens" w:date="2024-05-15T15:33:00Z" w:initials="LG">
    <w:p w14:paraId="7CF39A9B" w14:textId="77777777" w:rsidR="0013162C" w:rsidRDefault="0013162C" w:rsidP="0013162C">
      <w:pPr>
        <w:pStyle w:val="CommentText"/>
      </w:pPr>
      <w:r>
        <w:rPr>
          <w:rStyle w:val="CommentReference"/>
        </w:rPr>
        <w:annotationRef/>
      </w:r>
      <w:r>
        <w:t>Dit nog is nakijken, not sure hiervan buiten bij fama al nagekeken</w:t>
      </w:r>
    </w:p>
  </w:comment>
  <w:comment w:id="21" w:author="Luna Geens" w:date="2024-05-15T15:08:00Z" w:initials="LG">
    <w:p w14:paraId="2D2E32EA" w14:textId="77777777" w:rsidR="009F3074" w:rsidRDefault="009F3074" w:rsidP="009F3074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22" w:author="Luna Geens" w:date="2024-05-15T15:10:00Z" w:initials="LG">
    <w:p w14:paraId="606415D2" w14:textId="77777777" w:rsidR="009F3074" w:rsidRDefault="009F3074" w:rsidP="009F3074">
      <w:pPr>
        <w:pStyle w:val="CommentText"/>
      </w:pPr>
      <w:r>
        <w:rPr>
          <w:rStyle w:val="CommentReference"/>
        </w:rPr>
        <w:annotationRef/>
      </w:r>
      <w:r>
        <w:t>Heel main results nog effe aanpassen en dan dit doc tussen splitsen zetten</w:t>
      </w:r>
    </w:p>
  </w:comment>
  <w:comment w:id="23" w:author="Luna Geens" w:date="2024-05-15T15:33:00Z" w:initials="LG">
    <w:p w14:paraId="7AA5F8D2" w14:textId="77777777" w:rsidR="009F3074" w:rsidRDefault="009F3074" w:rsidP="009F3074">
      <w:pPr>
        <w:pStyle w:val="CommentText"/>
      </w:pPr>
      <w:r>
        <w:rPr>
          <w:rStyle w:val="CommentReference"/>
        </w:rPr>
        <w:annotationRef/>
      </w:r>
      <w:r>
        <w:t>Dit nog is nakijken, not sure hiervan buiten bij fama al nagekeken</w:t>
      </w:r>
    </w:p>
  </w:comment>
  <w:comment w:id="25" w:author="Luna Geens" w:date="2024-05-15T15:33:00Z" w:initials="LG">
    <w:p w14:paraId="72CBF3EA" w14:textId="77777777" w:rsidR="00107021" w:rsidRDefault="00107021" w:rsidP="00107021">
      <w:pPr>
        <w:pStyle w:val="CommentText"/>
      </w:pPr>
      <w:r>
        <w:rPr>
          <w:rStyle w:val="CommentReference"/>
        </w:rPr>
        <w:annotationRef/>
      </w:r>
      <w:r>
        <w:t>Dit nog is nakijken, not sure hiervan buiten bij fama al nagekeken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9AC139" w15:done="0"/>
  <w15:commentEx w15:paraId="25A46AC8" w15:done="0"/>
  <w15:commentEx w15:paraId="63C8A823" w15:done="0"/>
  <w15:commentEx w15:paraId="27D0F14A" w15:paraIdParent="63C8A823" w15:done="0"/>
  <w15:commentEx w15:paraId="347DD88B" w15:done="0"/>
  <w15:commentEx w15:paraId="54A10D68" w15:done="1"/>
  <w15:commentEx w15:paraId="09994776" w15:done="0"/>
  <w15:commentEx w15:paraId="58572D1E" w15:paraIdParent="09994776" w15:done="0"/>
  <w15:commentEx w15:paraId="236ABB08" w15:done="0"/>
  <w15:commentEx w15:paraId="787EB293" w15:done="0"/>
  <w15:commentEx w15:paraId="2F95B880" w15:paraIdParent="787EB293" w15:done="0"/>
  <w15:commentEx w15:paraId="1DD3CD29" w15:done="0"/>
  <w15:commentEx w15:paraId="5AA9A750" w15:done="0"/>
  <w15:commentEx w15:paraId="39847FCE" w15:paraIdParent="5AA9A750" w15:done="0"/>
  <w15:commentEx w15:paraId="2B27D036" w15:done="0"/>
  <w15:commentEx w15:paraId="777B135F" w15:done="0"/>
  <w15:commentEx w15:paraId="47A31E65" w15:paraIdParent="777B135F" w15:done="0"/>
  <w15:commentEx w15:paraId="57D1DE55" w15:done="0"/>
  <w15:commentEx w15:paraId="74993756" w15:done="0"/>
  <w15:commentEx w15:paraId="34ECD6A7" w15:paraIdParent="74993756" w15:done="0"/>
  <w15:commentEx w15:paraId="7CF39A9B" w15:done="0"/>
  <w15:commentEx w15:paraId="2D2E32EA" w15:done="0"/>
  <w15:commentEx w15:paraId="606415D2" w15:paraIdParent="2D2E32EA" w15:done="0"/>
  <w15:commentEx w15:paraId="7AA5F8D2" w15:done="0"/>
  <w15:commentEx w15:paraId="72CBF3EA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F23D9E" w16cex:dateUtc="2024-05-17T18:33:00Z"/>
  <w16cex:commentExtensible w16cex:durableId="29F246A4" w16cex:dateUtc="2024-05-17T19:12:00Z"/>
  <w16cex:commentExtensible w16cex:durableId="29EF4E71" w16cex:dateUtc="2024-05-15T13:08:00Z"/>
  <w16cex:commentExtensible w16cex:durableId="29EF4EE8" w16cex:dateUtc="2024-05-15T13:10:00Z"/>
  <w16cex:commentExtensible w16cex:durableId="29EF5443" w16cex:dateUtc="2024-05-15T13:33:00Z"/>
  <w16cex:commentExtensible w16cex:durableId="29F39489" w16cex:dateUtc="2024-05-15T13:33:00Z"/>
  <w16cex:commentExtensible w16cex:durableId="29F25DC8" w16cex:dateUtc="2024-05-15T13:08:00Z"/>
  <w16cex:commentExtensible w16cex:durableId="29F25DC7" w16cex:dateUtc="2024-05-15T13:10:00Z"/>
  <w16cex:commentExtensible w16cex:durableId="29F25DC6" w16cex:dateUtc="2024-05-15T13:33:00Z"/>
  <w16cex:commentExtensible w16cex:durableId="29F25F0C" w16cex:dateUtc="2024-05-15T13:08:00Z"/>
  <w16cex:commentExtensible w16cex:durableId="29F25F0B" w16cex:dateUtc="2024-05-15T13:10:00Z"/>
  <w16cex:commentExtensible w16cex:durableId="29F25F0A" w16cex:dateUtc="2024-05-15T13:33:00Z"/>
  <w16cex:commentExtensible w16cex:durableId="29F25F92" w16cex:dateUtc="2024-05-15T13:08:00Z"/>
  <w16cex:commentExtensible w16cex:durableId="29F25F91" w16cex:dateUtc="2024-05-15T13:10:00Z"/>
  <w16cex:commentExtensible w16cex:durableId="29F25F90" w16cex:dateUtc="2024-05-15T13:33:00Z"/>
  <w16cex:commentExtensible w16cex:durableId="29F26028" w16cex:dateUtc="2024-05-15T13:08:00Z"/>
  <w16cex:commentExtensible w16cex:durableId="29F26027" w16cex:dateUtc="2024-05-15T13:10:00Z"/>
  <w16cex:commentExtensible w16cex:durableId="29F26026" w16cex:dateUtc="2024-05-15T13:33:00Z"/>
  <w16cex:commentExtensible w16cex:durableId="29F26086" w16cex:dateUtc="2024-05-15T13:08:00Z"/>
  <w16cex:commentExtensible w16cex:durableId="29F26085" w16cex:dateUtc="2024-05-15T13:10:00Z"/>
  <w16cex:commentExtensible w16cex:durableId="29F26084" w16cex:dateUtc="2024-05-15T13:33:00Z"/>
  <w16cex:commentExtensible w16cex:durableId="29F260FD" w16cex:dateUtc="2024-05-15T13:08:00Z"/>
  <w16cex:commentExtensible w16cex:durableId="29F260FC" w16cex:dateUtc="2024-05-15T13:10:00Z"/>
  <w16cex:commentExtensible w16cex:durableId="29F260FB" w16cex:dateUtc="2024-05-15T13:33:00Z"/>
  <w16cex:commentExtensible w16cex:durableId="29EF86E4" w16cex:dateUtc="2024-05-15T13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9AC139" w16cid:durableId="29F23D9E"/>
  <w16cid:commentId w16cid:paraId="25A46AC8" w16cid:durableId="29F246A4"/>
  <w16cid:commentId w16cid:paraId="63C8A823" w16cid:durableId="29EF4E71"/>
  <w16cid:commentId w16cid:paraId="27D0F14A" w16cid:durableId="29EF4EE8"/>
  <w16cid:commentId w16cid:paraId="347DD88B" w16cid:durableId="29EF5443"/>
  <w16cid:commentId w16cid:paraId="54A10D68" w16cid:durableId="29F39489"/>
  <w16cid:commentId w16cid:paraId="09994776" w16cid:durableId="29F25DC8"/>
  <w16cid:commentId w16cid:paraId="58572D1E" w16cid:durableId="29F25DC7"/>
  <w16cid:commentId w16cid:paraId="236ABB08" w16cid:durableId="29F25DC6"/>
  <w16cid:commentId w16cid:paraId="787EB293" w16cid:durableId="29F25F0C"/>
  <w16cid:commentId w16cid:paraId="2F95B880" w16cid:durableId="29F25F0B"/>
  <w16cid:commentId w16cid:paraId="1DD3CD29" w16cid:durableId="29F25F0A"/>
  <w16cid:commentId w16cid:paraId="5AA9A750" w16cid:durableId="29F25F92"/>
  <w16cid:commentId w16cid:paraId="39847FCE" w16cid:durableId="29F25F91"/>
  <w16cid:commentId w16cid:paraId="2B27D036" w16cid:durableId="29F25F90"/>
  <w16cid:commentId w16cid:paraId="777B135F" w16cid:durableId="29F26028"/>
  <w16cid:commentId w16cid:paraId="47A31E65" w16cid:durableId="29F26027"/>
  <w16cid:commentId w16cid:paraId="57D1DE55" w16cid:durableId="29F26026"/>
  <w16cid:commentId w16cid:paraId="74993756" w16cid:durableId="29F26086"/>
  <w16cid:commentId w16cid:paraId="34ECD6A7" w16cid:durableId="29F26085"/>
  <w16cid:commentId w16cid:paraId="7CF39A9B" w16cid:durableId="29F26084"/>
  <w16cid:commentId w16cid:paraId="2D2E32EA" w16cid:durableId="29F260FD"/>
  <w16cid:commentId w16cid:paraId="606415D2" w16cid:durableId="29F260FC"/>
  <w16cid:commentId w16cid:paraId="7AA5F8D2" w16cid:durableId="29F260FB"/>
  <w16cid:commentId w16cid:paraId="72CBF3EA" w16cid:durableId="29EF86E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714E4"/>
    <w:multiLevelType w:val="hybridMultilevel"/>
    <w:tmpl w:val="7A22D53C"/>
    <w:lvl w:ilvl="0" w:tplc="08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915DF5"/>
    <w:multiLevelType w:val="hybridMultilevel"/>
    <w:tmpl w:val="2DA0A198"/>
    <w:lvl w:ilvl="0" w:tplc="08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1C7BC4"/>
    <w:multiLevelType w:val="hybridMultilevel"/>
    <w:tmpl w:val="ECDC54D4"/>
    <w:lvl w:ilvl="0" w:tplc="08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AB2FB2"/>
    <w:multiLevelType w:val="hybridMultilevel"/>
    <w:tmpl w:val="DD662554"/>
    <w:lvl w:ilvl="0" w:tplc="08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E0316CE"/>
    <w:multiLevelType w:val="hybridMultilevel"/>
    <w:tmpl w:val="516C362A"/>
    <w:lvl w:ilvl="0" w:tplc="E3C486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966244">
    <w:abstractNumId w:val="4"/>
  </w:num>
  <w:num w:numId="2" w16cid:durableId="1475444076">
    <w:abstractNumId w:val="2"/>
  </w:num>
  <w:num w:numId="3" w16cid:durableId="553589706">
    <w:abstractNumId w:val="1"/>
  </w:num>
  <w:num w:numId="4" w16cid:durableId="2052537728">
    <w:abstractNumId w:val="0"/>
  </w:num>
  <w:num w:numId="5" w16cid:durableId="152339301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na Geens">
    <w15:presenceInfo w15:providerId="AD" w15:userId="S::s0192441@ad.ua.ac.be::0169d892-e80d-4bfd-bf93-e8dc4aa939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2A"/>
    <w:rsid w:val="00000D25"/>
    <w:rsid w:val="000348C8"/>
    <w:rsid w:val="00063771"/>
    <w:rsid w:val="000750BF"/>
    <w:rsid w:val="00085CEF"/>
    <w:rsid w:val="000D2161"/>
    <w:rsid w:val="000F7273"/>
    <w:rsid w:val="00107021"/>
    <w:rsid w:val="00114569"/>
    <w:rsid w:val="0013162C"/>
    <w:rsid w:val="00136141"/>
    <w:rsid w:val="001759E9"/>
    <w:rsid w:val="00182871"/>
    <w:rsid w:val="001A284B"/>
    <w:rsid w:val="001D4F51"/>
    <w:rsid w:val="00256F0B"/>
    <w:rsid w:val="002B6301"/>
    <w:rsid w:val="002C647C"/>
    <w:rsid w:val="002E6737"/>
    <w:rsid w:val="00304B46"/>
    <w:rsid w:val="003564DA"/>
    <w:rsid w:val="00383E7E"/>
    <w:rsid w:val="003D23D0"/>
    <w:rsid w:val="003E4893"/>
    <w:rsid w:val="004133B0"/>
    <w:rsid w:val="004206B4"/>
    <w:rsid w:val="00462544"/>
    <w:rsid w:val="004D3ED7"/>
    <w:rsid w:val="005A1243"/>
    <w:rsid w:val="005C7D09"/>
    <w:rsid w:val="005E4196"/>
    <w:rsid w:val="005F3D74"/>
    <w:rsid w:val="00617E2C"/>
    <w:rsid w:val="00636250"/>
    <w:rsid w:val="006412E3"/>
    <w:rsid w:val="006607AE"/>
    <w:rsid w:val="00666326"/>
    <w:rsid w:val="006C542D"/>
    <w:rsid w:val="006D360C"/>
    <w:rsid w:val="006E6630"/>
    <w:rsid w:val="00741DF3"/>
    <w:rsid w:val="007D7E64"/>
    <w:rsid w:val="007E14F8"/>
    <w:rsid w:val="008228B6"/>
    <w:rsid w:val="0085044A"/>
    <w:rsid w:val="00876CA5"/>
    <w:rsid w:val="008771B5"/>
    <w:rsid w:val="00883E37"/>
    <w:rsid w:val="008C18AA"/>
    <w:rsid w:val="0091180C"/>
    <w:rsid w:val="00912C5F"/>
    <w:rsid w:val="00932D0A"/>
    <w:rsid w:val="0094788B"/>
    <w:rsid w:val="00950057"/>
    <w:rsid w:val="00962EF8"/>
    <w:rsid w:val="00986168"/>
    <w:rsid w:val="009B3931"/>
    <w:rsid w:val="009B511A"/>
    <w:rsid w:val="009F3074"/>
    <w:rsid w:val="009F4698"/>
    <w:rsid w:val="00A05899"/>
    <w:rsid w:val="00A320A2"/>
    <w:rsid w:val="00A55175"/>
    <w:rsid w:val="00AD1595"/>
    <w:rsid w:val="00AE2971"/>
    <w:rsid w:val="00B27A88"/>
    <w:rsid w:val="00B35CB1"/>
    <w:rsid w:val="00B54E7F"/>
    <w:rsid w:val="00B74F9B"/>
    <w:rsid w:val="00BC4001"/>
    <w:rsid w:val="00BD4DAB"/>
    <w:rsid w:val="00BD7B43"/>
    <w:rsid w:val="00C05FD1"/>
    <w:rsid w:val="00C3382A"/>
    <w:rsid w:val="00C37EAB"/>
    <w:rsid w:val="00C6065A"/>
    <w:rsid w:val="00CC735F"/>
    <w:rsid w:val="00CE7C72"/>
    <w:rsid w:val="00D009A9"/>
    <w:rsid w:val="00D415FC"/>
    <w:rsid w:val="00D76C68"/>
    <w:rsid w:val="00DE2226"/>
    <w:rsid w:val="00E378D1"/>
    <w:rsid w:val="00E451E4"/>
    <w:rsid w:val="00E638AD"/>
    <w:rsid w:val="00E77E47"/>
    <w:rsid w:val="00E86A88"/>
    <w:rsid w:val="00E97FBB"/>
    <w:rsid w:val="00EB7E75"/>
    <w:rsid w:val="00ED5286"/>
    <w:rsid w:val="00EF0A2F"/>
    <w:rsid w:val="00F1575E"/>
    <w:rsid w:val="00F25366"/>
    <w:rsid w:val="00F826F0"/>
    <w:rsid w:val="00FA27F2"/>
    <w:rsid w:val="00FB64BD"/>
    <w:rsid w:val="00FC54A9"/>
    <w:rsid w:val="00FD3A2C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89134"/>
  <w15:chartTrackingRefBased/>
  <w15:docId w15:val="{CDD28D76-CA8B-40C0-B244-4D87451F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38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8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382A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C3382A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3382A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C3382A"/>
    <w:rPr>
      <w:b/>
      <w:bCs/>
    </w:rPr>
  </w:style>
  <w:style w:type="paragraph" w:styleId="ListParagraph">
    <w:name w:val="List Paragraph"/>
    <w:basedOn w:val="Normal"/>
    <w:uiPriority w:val="34"/>
    <w:qFormat/>
    <w:rsid w:val="005F3D74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5F3D74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D7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D74"/>
    <w:rPr>
      <w:i/>
      <w:iCs/>
      <w:color w:val="4472C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9B51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B51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B51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51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511A"/>
    <w:rPr>
      <w:b/>
      <w:bCs/>
      <w:sz w:val="20"/>
      <w:szCs w:val="20"/>
    </w:rPr>
  </w:style>
  <w:style w:type="table" w:styleId="PlainTable1">
    <w:name w:val="Plain Table 1"/>
    <w:basedOn w:val="TableNormal"/>
    <w:uiPriority w:val="41"/>
    <w:rsid w:val="00DE222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E22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CC735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35F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CC735F"/>
    <w:pPr>
      <w:spacing w:after="0" w:line="240" w:lineRule="auto"/>
    </w:pPr>
  </w:style>
  <w:style w:type="table" w:styleId="GridTable5Dark-Accent3">
    <w:name w:val="Grid Table 5 Dark Accent 3"/>
    <w:basedOn w:val="TableNormal"/>
    <w:uiPriority w:val="50"/>
    <w:rsid w:val="00CC73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5">
    <w:name w:val="Grid Table 4 Accent 5"/>
    <w:basedOn w:val="TableNormal"/>
    <w:uiPriority w:val="49"/>
    <w:rsid w:val="00CC73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CC73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6">
    <w:name w:val="Grid Table 4 Accent 6"/>
    <w:basedOn w:val="TableNormal"/>
    <w:uiPriority w:val="49"/>
    <w:rsid w:val="009B393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9F469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-Accent2">
    <w:name w:val="Grid Table 3 Accent 2"/>
    <w:basedOn w:val="TableNormal"/>
    <w:uiPriority w:val="48"/>
    <w:rsid w:val="009F469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">
    <w:name w:val="Grid Table 3"/>
    <w:basedOn w:val="TableNormal"/>
    <w:uiPriority w:val="48"/>
    <w:rsid w:val="009F469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9F469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4095</Words>
  <Characters>23348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Geens</dc:creator>
  <cp:keywords/>
  <dc:description/>
  <cp:lastModifiedBy>Luna Geens</cp:lastModifiedBy>
  <cp:revision>5</cp:revision>
  <cp:lastPrinted>2024-05-17T21:05:00Z</cp:lastPrinted>
  <dcterms:created xsi:type="dcterms:W3CDTF">2024-05-17T19:20:00Z</dcterms:created>
  <dcterms:modified xsi:type="dcterms:W3CDTF">2024-05-18T18:58:00Z</dcterms:modified>
</cp:coreProperties>
</file>