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75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51"/>
      </w:tblGrid>
      <w:tr>
        <w:trPr>
          <w:trHeight w:val="99" w:hRule="atLeast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rFonts w:ascii="HY헤드라인M" w:eastAsia="HY헤드라인M"/>
                <w:b/>
                <w:color w:val="000000"/>
                <w:sz w:val="2"/>
              </w:rPr>
            </w:pPr>
            <w:bookmarkStart w:id="1" w:name="_top"/>
            <w:bookmarkEnd w:id="1"/>
          </w:p>
        </w:tc>
      </w:tr>
      <w:tr>
        <w:trPr>
          <w:trHeight w:val="543" w:hRule="atLeast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HY헤드라인M" w:eastAsia="HY헤드라인M"/>
                <w:b/>
                <w:sz w:val="34"/>
              </w:rPr>
              <w:t>주간업무보고: 조사·연구 [2026년 4월 4주차]</w:t>
            </w:r>
          </w:p>
        </w:tc>
      </w:tr>
      <w:tr>
        <w:trPr>
          <w:trHeight w:val="97" w:hRule="atLeast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thinThickMediumGap" w:sz="1" w:space="0" w:color="E5E5E5"/>
              <w:right w:val="none" w:sz="3" w:space="0" w:color="E5E5E5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  <w:rPr>
                <w:sz w:val="2"/>
                <w:szCs w:val="2"/>
              </w:rPr>
            </w:pPr>
          </w:p>
        </w:tc>
      </w:tr>
    </w:tbl>
    <w:p>
      <w:pPr>
        <w:pStyle w:val="0"/>
        <w:widowControl w:val="off"/>
        <w:wordWrap/>
        <w:jc w:val="center"/>
        <w:spacing w:line="240" w:lineRule="auto"/>
      </w:pPr>
    </w:p>
    <w:p>
      <w:pPr>
        <w:pStyle w:val="0"/>
        <w:widowControl w:val="off"/>
        <w:wordWrap/>
        <w:jc w:val="right"/>
        <w:spacing w:line="240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wordWrap/>
        <w:jc w:val="right"/>
        <w:spacing w:line="240" w:lineRule="auto"/>
      </w:pPr>
      <w:r>
        <w:rPr>
          <w:rFonts w:eastAsia="맑은 고딕"/>
        </w:rPr>
        <w:t>종합기획부</w:t>
      </w:r>
    </w:p>
    <w:p>
      <w:pPr>
        <w:pStyle w:val="0"/>
        <w:widowControl w:val="off"/>
        <w:wordWrap/>
        <w:jc w:val="right"/>
        <w:spacing w:line="240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wordWrap/>
        <w:jc w:val="left"/>
        <w:spacing w:line="240" w:lineRule="auto"/>
      </w:pPr>
      <w:r>
        <w:rPr>
          <w:rFonts w:ascii="맑은 고딕" w:eastAsia="맑은 고딕"/>
          <w:b/>
          <w:color w:val="0000FF"/>
        </w:rPr>
        <w:t>* URL 클릭 시 해당 기사/보도자료 사이트로 이동합니다.</w:t>
      </w:r>
    </w:p>
    <w:p>
      <w:pPr>
        <w:pStyle w:val="0"/>
        <w:widowControl w:val="off"/>
        <w:wordWrap/>
        <w:jc w:val="left"/>
        <w:spacing w:line="240" w:lineRule="auto"/>
        <w:rPr>
          <w:rFonts w:ascii="맑은 고딕" w:eastAsia="맑은 고딕"/>
          <w:color w:val="000000"/>
        </w:rPr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7"/>
        <w:gridCol w:w="137"/>
        <w:gridCol w:w="9003"/>
      </w:tblGrid>
      <w:tr>
        <w:trPr>
          <w:trHeight w:val="416" w:hRule="atLeast"/>
        </w:trPr>
        <w:tc>
          <w:tcPr>
            <w:tcW w:w="66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173876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HY헤드라인M"/>
                <w:color w:val="FFFFFF"/>
                <w:sz w:val="28"/>
                <w:shd w:val="clear" w:color="000000" w:fill="auto"/>
              </w:rPr>
              <w:t>※</w:t>
            </w:r>
          </w:p>
        </w:tc>
        <w:tc>
          <w:tcPr>
            <w:tcW w:w="13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ind w:left="661" w:hanging="661"/>
              <w:widowControl w:val="off"/>
              <w:spacing w:line="240"/>
              <w:rPr>
                <w:rFonts w:ascii="맑은 고딕" w:eastAsia="맑은 고딕"/>
                <w:b/>
                <w:color w:val="000000"/>
                <w:sz w:val="28"/>
                <w:shd w:val="clear" w:color="000000" w:fill="auto"/>
              </w:rPr>
            </w:pPr>
          </w:p>
        </w:tc>
        <w:tc>
          <w:tcPr>
            <w:tcW w:w="9003" w:type="dxa"/>
            <w:tcBorders>
              <w:top w:val="none" w:sz="3" w:space="0" w:color="000000"/>
              <w:left w:val="none" w:sz="3" w:space="0" w:color="000000"/>
              <w:bottom w:val="single" w:sz="3" w:space="0" w:color="315F97"/>
              <w:right w:val="single" w:sz="3" w:space="0" w:color="315F97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HY헤드라인M" w:eastAsia="HY헤드라인M"/>
                <w:sz w:val="28"/>
              </w:rPr>
              <w:t>주요 이슈 사항</w:t>
            </w:r>
          </w:p>
        </w:tc>
      </w:tr>
    </w:tbl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676"/>
        <w:gridCol w:w="7480"/>
      </w:tblGrid>
      <w:tr>
        <w:trPr>
          <w:trHeight w:val="373" w:hRule="atLeast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1. 은행/지주사 --------------------------------------------------------------------- 2</w:t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1.1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전자신문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JB금융, 전 계열사 'AI 에이전트화' 착수</w:t>
            </w:r>
            <w:r>
              <w:rPr>
                <w:rFonts w:ascii="맑은 고딕" w:eastAsia="맑은 고딕"/>
                <w:b/>
              </w:rPr>
              <w:t>…업무</w:t>
            </w:r>
            <w:r>
              <w:rPr>
                <w:rFonts w:ascii="맑은 고딕" w:eastAsia="맑은 고딕"/>
                <w:b/>
              </w:rPr>
              <w:t>·시스템 동시 재편 (4.19)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1.2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뉴시스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전북은행, 연금계좌 바꾸면 최대 1만5000원 캐시백 이벤트 (4.19)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1.3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딜사이트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지방금융지주 '큰 손' OK금융, 배당 수익만 370억 (4.20)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1.4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더퍼블릭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 w:eastAsia="맑은 고딕"/>
                <w:b/>
                <w:spacing w:val="-10"/>
              </w:rPr>
              <w:t xml:space="preserve"> 성과보다 앞선 보수?...김기홍 회장 고연봉 논란 속 JB금융 건전성 ‘빨간불’ (4.20)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1.5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딜사이트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 w:eastAsia="맑은 고딕"/>
                <w:b/>
                <w:spacing w:val="-10"/>
              </w:rPr>
              <w:t xml:space="preserve"> ROE 10%대 '두각'</w:t>
            </w:r>
            <w:r>
              <w:rPr>
                <w:rFonts w:ascii="맑은 고딕" w:eastAsia="맑은 고딕"/>
                <w:b/>
                <w:spacing w:val="-10"/>
              </w:rPr>
              <w:t>…배당보다</w:t>
            </w:r>
            <w:r>
              <w:rPr>
                <w:rFonts w:ascii="맑은 고딕" w:eastAsia="맑은 고딕"/>
                <w:b/>
                <w:spacing w:val="-10"/>
              </w:rPr>
              <w:t xml:space="preserve"> 앞선 JB의 경쟁력 (4.22)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1.6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이코노믹리뷰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 w:eastAsia="맑은 고딕"/>
                <w:b/>
                <w:spacing w:val="-10"/>
              </w:rPr>
              <w:t xml:space="preserve"> 전북은행, 1분기 순이익 399억원</w:t>
            </w:r>
            <w:r>
              <w:rPr>
                <w:rFonts w:ascii="맑은 고딕" w:eastAsia="맑은 고딕"/>
                <w:b/>
                <w:spacing w:val="-10"/>
              </w:rPr>
              <w:t>…전년</w:t>
            </w:r>
            <w:r>
              <w:rPr>
                <w:rFonts w:ascii="맑은 고딕" w:eastAsia="맑은 고딕"/>
                <w:b/>
                <w:spacing w:val="-10"/>
              </w:rPr>
              <w:t xml:space="preserve"> 대비 22.5% 감소 (4.23)</w:t>
            </w:r>
          </w:p>
        </w:tc>
      </w:tr>
      <w:tr>
        <w:trPr>
          <w:trHeight w:val="432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1.7</w:t>
            </w:r>
          </w:p>
        </w:tc>
        <w:tc>
          <w:tcPr>
            <w:tcW w:w="167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한스경제</w:t>
            </w:r>
          </w:p>
        </w:tc>
        <w:tc>
          <w:tcPr>
            <w:tcW w:w="748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 w:eastAsia="맑은 고딕"/>
                <w:b/>
                <w:spacing w:val="-10"/>
              </w:rPr>
              <w:t xml:space="preserve"> JB금융 1분기 순익 1661억원</w:t>
            </w:r>
            <w:r>
              <w:rPr>
                <w:rFonts w:ascii="맑은 고딕"/>
                <w:b/>
                <w:spacing w:val="-10"/>
              </w:rPr>
              <w:t>…</w:t>
            </w:r>
            <w:r>
              <w:rPr>
                <w:rFonts w:ascii="맑은 고딕" w:eastAsia="맑은 고딕"/>
                <w:b/>
                <w:spacing w:val="-10"/>
              </w:rPr>
              <w:t>JB우리캐피탈 실적 견인 (4.24)</w:t>
            </w:r>
          </w:p>
        </w:tc>
      </w:tr>
      <w:tr>
        <w:trPr>
          <w:trHeight w:val="5631" w:hRule="atLeast"/>
        </w:trPr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ascii="맑은 고딕" w:eastAsia="맑은 고딕"/>
                <w:b/>
              </w:rPr>
              <w:t>그 외</w:t>
            </w:r>
          </w:p>
        </w:tc>
        <w:tc>
          <w:tcPr>
            <w:tcW w:w="1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이데일리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연합뉴스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이데일리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뉴시스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머니투데이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뉴시스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뉴시스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데일리안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서울신문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매일경제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조세일보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국민일보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매일경제</w:t>
            </w:r>
          </w:p>
          <w:p>
            <w:pPr>
              <w:pStyle w:val="0"/>
              <w:widowControl w:val="off"/>
              <w:wordWrap/>
              <w:jc w:val="center"/>
              <w:spacing w:line="276" w:lineRule="auto"/>
            </w:pPr>
            <w:r>
              <w:rPr>
                <w:rFonts w:eastAsia="맑은 고딕"/>
                <w:b/>
              </w:rPr>
              <w:t>뉴시스</w:t>
            </w:r>
          </w:p>
        </w:tc>
        <w:tc>
          <w:tcPr>
            <w:tcW w:w="7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미토스 쇼크에 금융권 비상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'AI 통제 거버넌스' 마련 시급 (4.19)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부산은행, 선박 에스크로 에이전트 서비스</w:t>
            </w:r>
            <w:r>
              <w:rPr>
                <w:rFonts w:ascii="맑은 고딕" w:eastAsia="맑은 고딕"/>
                <w:b/>
              </w:rPr>
              <w:t>…국내은행</w:t>
            </w:r>
            <w:r>
              <w:rPr>
                <w:rFonts w:ascii="맑은 고딕" w:eastAsia="맑은 고딕"/>
                <w:b/>
              </w:rPr>
              <w:t xml:space="preserve"> 최초 (4.20)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"한패스, 인구감소 정책 수혜주</w:t>
            </w:r>
            <w:r>
              <w:rPr>
                <w:rFonts w:ascii="맑은 고딕" w:eastAsia="맑은 고딕"/>
                <w:b/>
              </w:rPr>
              <w:t>…방한외국인</w:t>
            </w:r>
            <w:r>
              <w:rPr>
                <w:rFonts w:ascii="맑은 고딕" w:eastAsia="맑은 고딕"/>
                <w:b/>
              </w:rPr>
              <w:t xml:space="preserve"> 급증 추가 모멘텀" (4.20)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토스뱅크, 인뱅 첫 '전자점자 서비스' 개시 (4.20)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발행어음·IMA 조달액 '57조' 쑥</w:t>
            </w:r>
            <w:r>
              <w:rPr>
                <w:rFonts w:ascii="맑은 고딕" w:eastAsia="맑은 고딕"/>
                <w:b/>
              </w:rPr>
              <w:t>↑…금감원</w:t>
            </w:r>
            <w:r>
              <w:rPr>
                <w:rFonts w:ascii="맑은 고딕" w:eastAsia="맑은 고딕"/>
                <w:b/>
              </w:rPr>
              <w:t xml:space="preserve"> "소비자 보호 철저히" (4.21)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돈키호테·편의점 할인</w:t>
            </w:r>
            <w:r>
              <w:rPr>
                <w:rFonts w:ascii="맑은 고딕" w:eastAsia="맑은 고딕"/>
                <w:b/>
              </w:rPr>
              <w:t>…신한은행</w:t>
            </w:r>
            <w:r>
              <w:rPr>
                <w:rFonts w:ascii="맑은 고딕" w:eastAsia="맑은 고딕"/>
                <w:b/>
              </w:rPr>
              <w:t>, 일본여행 특화 체크카드 출시 (4.21)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카드론 '43조' 역대 최대</w:t>
            </w:r>
            <w:r>
              <w:rPr>
                <w:rFonts w:ascii="맑은 고딕" w:eastAsia="맑은 고딕"/>
                <w:b/>
              </w:rPr>
              <w:t>…금융당국</w:t>
            </w:r>
            <w:r>
              <w:rPr>
                <w:rFonts w:ascii="맑은 고딕" w:eastAsia="맑은 고딕"/>
                <w:b/>
              </w:rPr>
              <w:t>, 가계대출 더 조인다 (4.22)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더 좁아지는 주담대 문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‘막판 수요’ 몰린다 (4.22)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‘행동주의 펀드 1세대’가 본 3차 상법 개정안 시행 전 마지막 주총 (4.22)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“지역 경기 살려야”</w:t>
            </w:r>
            <w:r>
              <w:rPr>
                <w:rFonts w:ascii="맑은 고딕" w:eastAsia="맑은 고딕"/>
                <w:b/>
              </w:rPr>
              <w:t>…지방은행</w:t>
            </w:r>
            <w:r>
              <w:rPr>
                <w:rFonts w:ascii="맑은 고딕" w:eastAsia="맑은 고딕"/>
                <w:b/>
              </w:rPr>
              <w:t xml:space="preserve"> 대출 증가한도 높인다 (4.22)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李</w:t>
            </w:r>
            <w:r>
              <w:rPr>
                <w:rFonts w:ascii="맑은 고딕" w:eastAsia="맑은 고딕"/>
                <w:b/>
              </w:rPr>
              <w:t>대통령 순방 동행한 5대 은행장, 베트남서 K-금융 판 키운다 (4.22)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베일 벗은 이재명표 ‘청년미래적금’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 xml:space="preserve"> 정부가 최대 12% 얹는다 (4.24)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불장에 증권사가 다 벌어왔다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KB·신한금융, 1분기 사상최대 실적 (4.24)</w:t>
            </w:r>
          </w:p>
          <w:p>
            <w:pPr>
              <w:pStyle w:val="0"/>
              <w:widowControl w:val="off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토스뱅크, 신규 고객 최대 10% '환영해요 적금' 출시 (4.24)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959"/>
        <w:gridCol w:w="7197"/>
      </w:tblGrid>
      <w:tr>
        <w:trPr>
          <w:trHeight w:val="370" w:hRule="atLeast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2. 국가기관 ------------------------------------------------------------------------ 8</w:t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>
        <w:trPr>
          <w:trHeight w:val="426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2.1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240"/>
            </w:pPr>
            <w:r>
              <w:rPr>
                <w:rFonts w:eastAsia="맑은 고딕"/>
                <w:b/>
              </w:rPr>
              <w:t>금융감독원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 w:eastAsia="맑은 고딕"/>
                <w:b/>
                <w:spacing w:val="-5"/>
              </w:rPr>
              <w:t xml:space="preserve"> 4월 20일부터 금융회사는 내부 업무망에서 클라우드 기반 응용소프트웨어</w:t>
            </w:r>
          </w:p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pacing w:val="-5"/>
              </w:rPr>
              <w:t>(SaaS)를 보다 원활하게 활용할 수 있습니다 (4.20)</w:t>
            </w:r>
          </w:p>
        </w:tc>
      </w:tr>
      <w:tr>
        <w:trPr>
          <w:trHeight w:val="426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</w:rPr>
              <w:t>2.2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240"/>
            </w:pPr>
            <w:r>
              <w:rPr>
                <w:rFonts w:eastAsia="맑은 고딕"/>
                <w:b/>
              </w:rPr>
              <w:t>한국은행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 w:eastAsia="맑은 고딕"/>
                <w:b/>
                <w:spacing w:val="-5"/>
              </w:rPr>
              <w:t xml:space="preserve"> 신현송 한국은행 총재 취임사 (4.22)</w:t>
            </w:r>
          </w:p>
        </w:tc>
      </w:tr>
      <w:tr>
        <w:trPr>
          <w:trHeight w:val="426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2.3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240"/>
            </w:pPr>
            <w:r>
              <w:rPr>
                <w:rFonts w:eastAsia="맑은 고딕"/>
                <w:b/>
              </w:rPr>
              <w:t>한국은행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 w:eastAsia="맑은 고딕"/>
                <w:b/>
                <w:spacing w:val="-5"/>
              </w:rPr>
              <w:t xml:space="preserve"> 구윤철 경제부총리-신현송 한국은행 총재 회동 결과 (4.23)</w:t>
            </w:r>
          </w:p>
        </w:tc>
      </w:tr>
    </w:tbl>
    <w:p>
      <w:pPr>
        <w:pStyle w:val="0"/>
        <w:widowControl w:val="off"/>
        <w:spacing w:line="240"/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1959"/>
        <w:gridCol w:w="7197"/>
      </w:tblGrid>
      <w:tr>
        <w:trPr>
          <w:trHeight w:val="370" w:hRule="atLeast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  <w:spacing w:val="-5"/>
              </w:rPr>
              <w:t>3. 금융연구소 -------------------------------------------------------------------------- 9</w:t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>
        <w:trPr>
          <w:trHeight w:val="407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3.1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 w:eastAsia="맑은 고딕"/>
                <w:b/>
                <w:spacing w:val="-5"/>
              </w:rPr>
              <w:t>KB경영연구소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낭비는 줄이고, 가치는 키우는 순환경제 (4.20)</w:t>
            </w:r>
          </w:p>
        </w:tc>
      </w:tr>
      <w:tr>
        <w:trPr>
          <w:trHeight w:val="407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3.2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 w:eastAsia="맑은 고딕"/>
                <w:b/>
                <w:spacing w:val="-5"/>
              </w:rPr>
              <w:t>KDB미래전략연구소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미국 서반구 전략의 주요 내용 및 영향 (4.20)</w:t>
            </w:r>
          </w:p>
        </w:tc>
      </w:tr>
      <w:tr>
        <w:trPr>
          <w:trHeight w:val="407" w:hRule="atLeast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ascii="맑은 고딕"/>
                <w:b/>
              </w:rPr>
              <w:t>3.3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/>
            </w:pPr>
            <w:r>
              <w:rPr>
                <w:rFonts w:eastAsia="맑은 고딕"/>
                <w:b/>
                <w:spacing w:val="-5"/>
              </w:rPr>
              <w:t>우리금융경영연구소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/>
                <w:b/>
              </w:rPr>
              <w:t xml:space="preserve"> Vietnam Review 2026-04 (4.23)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381" w:hRule="atLeast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1. 은행/지주사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1.1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JB금융, 전 계열사 'AI 에이전트화' 착수</w:t>
            </w:r>
            <w:r>
              <w:rPr>
                <w:rFonts w:ascii="맑은 고딕" w:eastAsia="맑은 고딕"/>
                <w:b/>
              </w:rPr>
              <w:t>…업무</w:t>
            </w:r>
            <w:r>
              <w:rPr>
                <w:rFonts w:ascii="맑은 고딕" w:eastAsia="맑은 고딕"/>
                <w:b/>
              </w:rPr>
              <w:t>·시스템 동시 재편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"https://www.etnews.com/20260417000091"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https://www.etnews.com/20260417000091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(전자신문 / 4.19)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AI 에이전트 플랫폼 구축 착수, 계열사 통합·표준화 기반 DX 가속 전략 추진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멀티 에이전트·RAG 결합, 업무 자동화·데이터 기반 의사결정 체계 고도화 추진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5"/>
              </w:rPr>
              <w:t>GPU·LLM 게이트웨이 기반 인프라, 보안·거버넌스 강화 및 온프레미스 중심 하이브리드 구조 구축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1.2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전북은행, 연금계좌 바꾸면 최대 1만5000원 캐시백 이벤트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"https://www.newsis.com/view/NISX20260420_0003598612"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https://www.newsis.com/view/NISX20260420_0003598612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(뉴시스 / 4.19)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연금 수령 고객 대상 계좌 변경 유도 이벤트, 캐시백 혜택 제공 프로모션 추진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4대 공적연금·기초연금 대상, 입금 횟수 조건 충족 시 최대 1만5000원 지급 구조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모바일 ‘쏙뱅크’ 통한 간편 신청, 연금 고객 유치 및 금융 편의성 제고 목적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1.3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지방금융지주 '큰 손' OK금융, 배당 수익만 370억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"https://dealsite.co.kr/articles/160395"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https://dealsite.co.kr/articles/160395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(딜사이트 / 4.20)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20"/>
              </w:rPr>
              <w:t>OK금융그룹, 지방 금융지주 3곳(JB금융지주·BNK금융지주·iM금융지주) 주요 주주로 참여, ‘큰 손’ 투자자 위상 강화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배당 수익 약 360~370억 확보, JB금융 중심 고수익 구조 및 안정적 현금흐름 확보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사외이사 추천 등 경영 영향력 확대, 주주환원 정책 확대에 따른 중장기 배당 수익 증가 기대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1.4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성과보다 앞선 보수?...김기홍 회장 고연봉 논란 속 JB금융 건전성 ‘빨간불’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"https://www.thepublic.kr/news/articleView.html\\?idxno=301621"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https://www.thepublic.kr/news/articleView.html?idxno=301621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(더퍼블릭 / 4.20)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10"/>
              </w:rPr>
              <w:t>JB금융지주 김기홍 회장 고액 보수(37억) 논란, 수익 증가 대비 건전성 악화로 보수 적정성 의문 제기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이사회 전원 찬성 구조·제한적 사외이사 후보군, 견제 기능 약화 및 지배구조 리스크 부각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캐피탈 중심 수익구조 확대, 고수익·고위험 구조 심화 및 금리·경기 민감 리스크 증가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1.5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ROE 10%대 '두각'</w:t>
            </w:r>
            <w:r>
              <w:rPr>
                <w:rFonts w:ascii="맑은 고딕" w:eastAsia="맑은 고딕"/>
                <w:b/>
              </w:rPr>
              <w:t>…배당보다</w:t>
            </w:r>
            <w:r>
              <w:rPr>
                <w:rFonts w:ascii="맑은 고딕" w:eastAsia="맑은 고딕"/>
                <w:b/>
              </w:rPr>
              <w:t xml:space="preserve"> 앞선 JB의 경쟁력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"https://news.dealsitetv.com/articles/168863"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https://news.dealsitetv.com/articles/168863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(딜사이트 / 4.22)</w:t>
            </w:r>
          </w:p>
        </w:tc>
      </w:tr>
      <w:tr>
        <w:trPr>
          <w:trHeight w:val="1224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JB금융지주 ROE 12%대 유지·총주주환원율 45% 달성, 수익성과 주주환원 동시 강화 성과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RoRWA 중심 자산 포트폴리오 재편, 자본효율 기반 고수익 구조 구축 및 질적 성장 실현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JB우리캐피탈 중심 비은행 부문 실적 견인, 고수익 자산 확대 및 중장기 밸류업 전략 추진</w:t>
            </w:r>
          </w:p>
        </w:tc>
      </w:tr>
    </w:tbl>
    <w:p>
      <w:pPr>
        <w:pStyle w:val="0"/>
        <w:widowControl w:val="off"/>
        <w:spacing w:line="240"/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1222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1.6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전북은행, 1분기 순이익 399억원</w:t>
            </w:r>
            <w:r>
              <w:rPr>
                <w:rFonts w:ascii="맑은 고딕" w:eastAsia="맑은 고딕"/>
                <w:b/>
              </w:rPr>
              <w:t>…전년</w:t>
            </w:r>
            <w:r>
              <w:rPr>
                <w:rFonts w:ascii="맑은 고딕" w:eastAsia="맑은 고딕"/>
                <w:b/>
              </w:rPr>
              <w:t xml:space="preserve"> 대비 22.5% 감소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"https://www.econovill.com/news/articleView.html\\?idxno=738539"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https://www.econovill.com/news/articleView.html?idxno=738539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(이코노믹리뷰 / 4.23)</w:t>
            </w:r>
          </w:p>
        </w:tc>
      </w:tr>
      <w:tr>
        <w:trPr>
          <w:trHeight w:val="1222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전북은행 1분기 순이익 399억원, 전년 대비 22.5% 감소 및 영업이익 24.6% 감소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매출 4056억원으로 3.3% 증가, 이자이익 증가에도 비용 부담 반영으로 수익성 둔화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JB금융지주 내 주요 자회사로서 외형 성장 대비 이익 부진 흐름 나타남</w:t>
            </w:r>
          </w:p>
        </w:tc>
      </w:tr>
      <w:tr>
        <w:trPr>
          <w:trHeight w:val="1222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1.7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JB금융 1분기 순익 1661억원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JB우리캐피탈 실적 견인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"https://www.hansbiz.co.kr/news/articleView.html\\?idxno=834973"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https://www.hansbiz.co.kr/news/articleView.html?idxno=834973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(한스경제 / 4.24)</w:t>
            </w:r>
          </w:p>
        </w:tc>
      </w:tr>
      <w:tr>
        <w:trPr>
          <w:trHeight w:val="1222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JB금융지주 1분기 순이익 1661억원, 이자이익 증가로 전년 대비 2.1% 개선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비이자이익 40.8% 감소·은행 계열사 실적 부진, 비용 증가 및 평가손 영향으로 수익성 약화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JB우리캐피탈·JB인베스트먼트 실적 호조로 그룹 실적 견인, 분기배당 311원으로 확대</w:t>
            </w:r>
          </w:p>
        </w:tc>
      </w:tr>
    </w:tbl>
    <w:p>
      <w:pPr>
        <w:spacing w:line="240"/>
      </w:pPr>
      <w:r>
        <w:br w:type="page"/>
      </w:r>
    </w:p>
    <w:tbl>
      <w:tblPr>
        <w:tblOverlap w:val="never"/>
        <w:tblW w:w="980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1439" w:hRule="atLeast"/>
        </w:trPr>
        <w:tc>
          <w:tcPr>
            <w:tcW w:w="652" w:type="dxa"/>
            <w:vMerge w:val="restart"/>
            <w:tcBorders>
              <w:top w:val="single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  <w:sz w:val="22"/>
              </w:rPr>
              <w:t>그</w:t>
            </w:r>
          </w:p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  <w:sz w:val="22"/>
              </w:rPr>
              <w:t>외</w:t>
            </w: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미토스 쇼크에 금융권 비상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'AI 통제 거버넌스' 마련 시급</w:t>
            </w:r>
          </w:p>
          <w:p>
            <w:pPr>
              <w:pStyle w:val="0"/>
              <w:ind w:left="0" w:right="0" w:firstLine="0"/>
              <w:autoSpaceDE w:val="off"/>
              <w:autoSpaceDN w:val="off"/>
              <w:widowControl w:val="off"/>
              <w:wordWrap w:val="off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before="0" w:line="240" w:lineRule="auto"/>
              <w:textAlignment w:val="baseline"/>
            </w:pPr>
            <w:r>
              <w:fldChar w:fldCharType="begin"/>
            </w:r>
            <w:r>
              <w:instrText xml:space="preserve"> HYPERLINK "https://www.edaily.co.kr/News/Read\\?newsId=03063526645417760&amp;mediaCodeNo=257&amp;OutLnkChk=Y"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https://www.edaily.co.kr/News/Read?newsId=03063526645417760&amp;mediaCodeNo=257&amp;OutLnkChk=Y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(이데일리 / 4.19)</w:t>
            </w:r>
          </w:p>
        </w:tc>
      </w:tr>
      <w:tr>
        <w:trPr>
          <w:trHeight w:val="1269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</w:p>
        </w:tc>
        <w:tc>
          <w:tcPr>
            <w:tcW w:w="9155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‘미토스 쇼크’로 AI 통제 한계 부각, 금융 시스템 위협 가능성 및 글로벌 리스크 확대 우려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  <w:rPr>
                <w:lang w:eastAsia="ko-KR"/>
                <w:rFonts w:hint="eastAsia"/>
                <w:rtl w:val="off"/>
              </w:rPr>
            </w:pPr>
            <w:r>
              <w:rPr>
                <w:rFonts w:ascii="맑은 고딕" w:eastAsia="맑은 고딕"/>
                <w:spacing w:val="-5"/>
              </w:rPr>
              <w:t>고성능 AI의 비의도적 공격 능력 확인, 계좌 탈취·결제망 마비 등 시스템 리스크 현실화 가능성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국제통화기금·세계은행 등 논의 확대, 글로벌 AI 거버넌스·규제 체계 구축 필요성 부각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부산은행, 선박 에스크로 에이전트 서비스</w:t>
            </w:r>
            <w:r>
              <w:rPr>
                <w:rFonts w:ascii="맑은 고딕" w:eastAsia="맑은 고딕"/>
                <w:b/>
              </w:rPr>
              <w:t>…국내은행</w:t>
            </w:r>
            <w:r>
              <w:rPr>
                <w:rFonts w:ascii="맑은 고딕" w:eastAsia="맑은 고딕"/>
                <w:b/>
              </w:rPr>
              <w:t xml:space="preserve"> 최초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"https://www.yna.co.kr/view/AKR20260420093400051\\?input=1195m"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https://www.yna.co.kr/view/AKR20260420093400051?input=1195m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(연합뉴스 / 4.20)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BNK부산은행 국내 최초 선박 에스크로 에이전트 서비스 도입, 해양금융 특화 서비스 출시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선박 거래 대금 중립적 보관·지급 구조, 계약 이행 시 자금·소유권 이전 안정성 확보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해외 법무법인 의존 구조 대체, 국내 선박금융 시장 신뢰도 및 경쟁력 강화 목적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"한패스, 인구감소 정책 수혜주</w:t>
            </w:r>
            <w:r>
              <w:rPr>
                <w:rFonts w:ascii="맑은 고딕" w:eastAsia="맑은 고딕"/>
                <w:b/>
              </w:rPr>
              <w:t>…방한외국인</w:t>
            </w:r>
            <w:r>
              <w:rPr>
                <w:rFonts w:ascii="맑은 고딕" w:eastAsia="맑은 고딕"/>
                <w:b/>
              </w:rPr>
              <w:t xml:space="preserve"> 급증 추가 모멘텀"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"https://www.edaily.co.kr/News/Read\\?newsId=02020486645418088&amp;mediaCodeNo=257&amp;OutLnkChk=Y"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https://www.edaily.co.kr/News/Read?newsId=02020486645418088&amp;mediaCodeNo=257&amp;OutLnkChk=Y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(이데일리 / 4.20)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5"/>
              </w:rPr>
              <w:t>한패스 체류외국인 증가 기반 소액해외송금 수요 확대, 외국인 금융·생활 서비스 시장 성장 전망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프리펀딩 방식 송금 경쟁력 확보, 모바일월렛·선불카드·모빌리티 등 플랫폼 확장 추진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10"/>
              </w:rPr>
              <w:t>2026년 매출 830억원·영업이익 110억원 전망, 방한외국인 증가 따른 수익성 개선 및 기업가치 상승 기대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토스뱅크, 인뱅 첫 '전자점자 서비스' 개시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"https://www.newsis.com/view/NISX20260420_0003598092"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https://www.newsis.com/view/NISX20260420_0003598092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(뉴시스 / 4.20)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토스뱅크 전자점자 서비스 도입, 시각장애 고객 금융 정보 접근성 개선 추진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통장사본 등 금융 문서 점자 파일 자동 변환, 보조기기 활용한 독립적 정보 확인 지원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모바일 앱 기반 제공 및 금융·증명 문서로 확대 예정, 포용 금융 서비스 강화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발행어음·IMA 조달액 '57조' 쑥</w:t>
            </w:r>
            <w:r>
              <w:rPr>
                <w:rFonts w:ascii="맑은 고딕" w:eastAsia="맑은 고딕"/>
                <w:b/>
              </w:rPr>
              <w:t>↑…금감원</w:t>
            </w:r>
            <w:r>
              <w:rPr>
                <w:rFonts w:ascii="맑은 고딕" w:eastAsia="맑은 고딕"/>
                <w:b/>
              </w:rPr>
              <w:t xml:space="preserve"> "소비자 보호 철저히"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"https://www.mt.co.kr/stock/2026/04/21/2026042109301477285"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https://www.mt.co.kr/stock/2026/04/21/2026042109301477285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(머니투데이 / 4.21)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15"/>
              </w:rPr>
              <w:t>금융감독원 종투사 발행어음·IMA 조달액 57조원 돌파, 모험자본 공급 확대 속 투자자 보호·리스크 관리 강조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발행어음·IMA 성장세 지속, 유동성 관리 및 내부통제 강화 필요성 부각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10"/>
              </w:rPr>
              <w:t>미래에셋증권·한국투자증권·NH투자증권 등 IMA 사업자 지정, 모험자본 공급 및 건전성 관리 병행 요구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돈키호테·편의점 할인</w:t>
            </w:r>
            <w:r>
              <w:rPr>
                <w:rFonts w:ascii="맑은 고딕" w:eastAsia="맑은 고딕"/>
                <w:b/>
              </w:rPr>
              <w:t>…신한은행</w:t>
            </w:r>
            <w:r>
              <w:rPr>
                <w:rFonts w:ascii="맑은 고딕" w:eastAsia="맑은 고딕"/>
                <w:b/>
              </w:rPr>
              <w:t>, 일본여행 특화 체크카드 출시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"https://www.newsis.com/view/NISX20260421_0003600175"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https://www.newsis.com/view/NISX20260421_0003600175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(뉴시스 / 4.21)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5"/>
              </w:rPr>
              <w:t>신한은행·신한카드 일본 여행 특화 ‘SOL트립앤J 체크카드’ 출시, 해외여행 금융상품 라인업 확대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환율우대 100%·해외 결제 수수료 면제, 일본 현지 가맹점 할인 및 JCB 제휴 혜택 제공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이벤트 통한 포인트·기프트카드 제공, 해외 결제·송금·제휴 연계 서비스 강화 전략</w:t>
            </w:r>
          </w:p>
        </w:tc>
      </w:tr>
      <w:tr>
        <w:trPr>
          <w:trHeight w:val="1363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/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카드론 '43조' 역대 최대</w:t>
            </w:r>
            <w:r>
              <w:rPr>
                <w:rFonts w:ascii="맑은 고딕" w:eastAsia="맑은 고딕"/>
                <w:b/>
              </w:rPr>
              <w:t>…금융당국</w:t>
            </w:r>
            <w:r>
              <w:rPr>
                <w:rFonts w:ascii="맑은 고딕" w:eastAsia="맑은 고딕"/>
                <w:b/>
              </w:rPr>
              <w:t>, 가계대출 더 조인다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"https://www.newsis.com/view/NISX20260422_0003601470"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https://www.newsis.com/view/NISX20260422_0003601470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(뉴시스 / 4.22)</w:t>
            </w:r>
          </w:p>
        </w:tc>
      </w:tr>
      <w:tr>
        <w:trPr>
          <w:trHeight w:val="1438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5"/>
              </w:rPr>
              <w:t>금융감독원 카드론 잔액 43조원 근접 역대 최대, 가계부채 총량 관리 기조 속 증가율 규제 강화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  <w:rPr>
                <w:lang w:eastAsia="ko-KR"/>
                <w:rFonts w:hint="eastAsia"/>
                <w:rtl w:val="off"/>
              </w:rPr>
            </w:pPr>
            <w:r>
              <w:rPr>
                <w:rFonts w:ascii="맑은 고딕" w:eastAsia="맑은 고딕"/>
              </w:rPr>
              <w:t>카드론 증가율 목표 1~1.5%로 축소, 은행 대출 규제 영향으로 중·저신용자 수요 집중 현상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취약차주 자금 접근성 축소 및 풍선효과 우려, 중금리대출 인센티브 통한 보완 정책 추진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더 좁아지는 주담대 문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‘막판 수요’ 몰린다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"https://www.dailian.co.kr/news/view/1636063/\\?sc=Naver"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https://www.dailian.co.kr/news/view/1636063/?sc=Naver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(데일리안 / 4.22)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주담대 총량 규제 강화 추진, 가계대출 내 비중 60% 수준 제한 및 대출 문턱 상승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금리 하락·규제 시행 전 수요 집중, 주담대 잔액 증가 및 선착순 대출 가능성 확대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부동산 규제·세제 변화 영향, 매수 심리 변동 및 은행권 보수적 대출 운용 확대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‘행동주의 펀드 1세대’가 본 3차 상법 개정안 시행 전 마지막 주총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"https://www.seoul.co.kr/news/economy/finance/2026/04/23/20260423032001\\?wlog_tag3=naver"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https://www.seoul.co.kr/news/economy/finance/2026/04/23/20260423032001?wlog_tag3=naver</w:t>
            </w:r>
            <w:r>
              <w:fldChar w:fldCharType="end"/>
            </w:r>
          </w:p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 w:eastAsia="맑은 고딕"/>
                <w:spacing w:val="-5"/>
              </w:rPr>
              <w:t>(서울신문 / 4.22)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이수만 경영권 분쟁 계기, 국내 행동주의 펀드 본격 등장 및 주주 권한 강화 흐름 확산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이창환·강대권 중심 행동주의 확산, 금융지주 지배구조·주주환원 영향력 확대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15"/>
              </w:rPr>
              <w:t>주주참여 확대·상법 개정 논의 맞물려 기업가치 제고 요구 증가, 자본배치·지배구조 개선 중심 투자 방식 정착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“지역 경기 살려야”</w:t>
            </w:r>
            <w:r>
              <w:rPr>
                <w:rFonts w:ascii="맑은 고딕" w:eastAsia="맑은 고딕"/>
                <w:b/>
              </w:rPr>
              <w:t>…지방은행</w:t>
            </w:r>
            <w:r>
              <w:rPr>
                <w:rFonts w:ascii="맑은 고딕" w:eastAsia="맑은 고딕"/>
                <w:b/>
              </w:rPr>
              <w:t xml:space="preserve"> 대출 증가한도 높인다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"https://www.mk.co.kr/news/economy/12024374"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https://www.mk.co.kr/news/economy/12024374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(매일경제 / 4.22)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금융위원회 가계대출 총량 1.5% 관리 속 지방은행 4~5%·인터넷은행 완화 적용, 지역 경기 활성화 및 금융 접근성 확대 목적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중·저신용자 대출 비중 확대 정책 병행, 인터넷은행 중심 포용금융 강화 기조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시중은행 1% 미만 제한 유지, 대출 여력 축소로 우량차주 쏠림 및 실수요자 접근성 저하 우려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李</w:t>
            </w:r>
            <w:r>
              <w:rPr>
                <w:rFonts w:ascii="맑은 고딕" w:eastAsia="맑은 고딕"/>
                <w:b/>
              </w:rPr>
              <w:t>대통령 순방 동행한 5대 은행장, 베트남서 K-금융 판 키운다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"https://www.joseilbo.com/news/htmls/2026/04/20260422567034.html"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https://www.joseilbo.com/news/htmls/2026/04/20260422567034.html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(조세일보 / 4.22)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이재명 베트남 순방에 5대 시중은행장 동행, 경제사절단 통해 해외 금융시장 공략 강화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베트남 핵심 해외시장 부상, 기업진출 확대 따른 기업금융·외환·PF 수요 증가 기대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KB국민은행·신한은행·하나은행·우리은행·NH농협은행 현지화·지분투자·디지털 전략 병행, 베트남 사업 확대 경쟁 심화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베일 벗은 이재명표 ‘청년미래적금’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 xml:space="preserve"> 정부가 최대 12% 얹는다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"https://www.kmib.co.kr/article/view.asp\\?arcid=1776934409&amp;code=11151300&amp;cp=nv"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  <w:spacing w:val="-5"/>
              </w:rPr>
              <w:t>https://www.kmib.co.kr/article/view.asp?arcid=1776934409&amp;code=11151300&amp;cp=nv</w:t>
            </w:r>
            <w:r>
              <w:fldChar w:fldCharType="end"/>
            </w:r>
            <w:r>
              <w:rPr>
                <w:rFonts w:ascii="맑은 고딕" w:eastAsia="맑은 고딕"/>
                <w:spacing w:val="-5"/>
              </w:rPr>
              <w:t xml:space="preserve"> (국민일보 / 4.24)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금융위원회 ‘청년미래적금’ 출시, 3년 납입 시 정부 기여금 최대 12% 지원 구조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소득·연령 요건 적용, 월 50만원 납입 기준 최대 216만원 정부 지원 및 비과세 혜택 제공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기존 청년도약계좌 대비 가입 조건 완화·만기 단축, 청년 자산형성 지원 강화 정책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불장에 증권사가 다 벌어왔다</w:t>
            </w:r>
            <w:r>
              <w:rPr>
                <w:rFonts w:ascii="맑은 고딕"/>
                <w:b/>
              </w:rPr>
              <w:t>…</w:t>
            </w:r>
            <w:r>
              <w:rPr>
                <w:rFonts w:ascii="맑은 고딕" w:eastAsia="맑은 고딕"/>
                <w:b/>
              </w:rPr>
              <w:t>KB·신한금융, 1분기 사상최대 실적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"https://www.mk.co.kr/news/economy/12026113"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</w:rPr>
              <w:t>https://www.mk.co.kr/news/economy/12026113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(매일경제 / 4.24)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15"/>
              </w:rPr>
              <w:t>KB금융그룹·신한금융그룹 1분기 순이익 각각 1조8924억·1조6226억, 역대 최대 실적 및 어닝 서프라이즈 기록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증시 호조 따른 비이자이익 급증, 증권 중심 비은행 부문 비중 확대 및 수익구조 다변화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  <w:spacing w:val="-5"/>
              </w:rPr>
              <w:t>은행 이익 견조 속 증권 실적 급성장, 보험·카드 부진 및 환율·ELS 리스크 등 향후 부담 요인 존재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토스뱅크, 신규 고객 최대 10% '환영해요 적금' 출시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"https://www.newsis.com/view/NISX20260424_0003604644"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</w:rPr>
              <w:t>https://www.newsis.com/view/NISX20260424_0003604644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(뉴시스 / 4.24)</w:t>
            </w:r>
          </w:p>
        </w:tc>
      </w:tr>
      <w:tr>
        <w:trPr>
          <w:trHeight w:val="1256" w:hRule="atLeast"/>
        </w:trPr>
        <w:tc>
          <w:tcPr>
            <w:tcW w:w="652" w:type="dxa"/>
            <w:vMerge w:val="continue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토스뱅크 신규 고객 대상 ‘환영해요 적금’ 출시, 최대 연 10% 금리 제공 이벤트 상품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3개월 자유적립식 구조, 자동이체 조건 충족 시 우대금리 적용 및 선착순 10만좌 한정 판매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신규 고객 유치 목적, 비과세 가입 가능·중도해지 시 기본금리 적용 조건 마련</w:t>
            </w:r>
          </w:p>
        </w:tc>
      </w:tr>
    </w:tbl>
    <w:p>
      <w:pPr>
        <w:spacing w:line="240"/>
      </w:pPr>
    </w:p>
    <w:p>
      <w:pPr>
        <w:spacing w:line="240"/>
      </w:pPr>
    </w:p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5"/>
      </w:tblGrid>
      <w:tr>
        <w:trPr>
          <w:trHeight w:val="405" w:hRule="atLeast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2. 국가기관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2.1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4월 20일부터 금융회사는 내부 업무망에서 클라우드 기반 응용소프트웨어(SaaS)를 보다 원활하게 활용할 수 있습니다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"https://www.fss.or.kr/fss/bbs/B0000188/view.do\\?nttId=217327&amp;menuNo=200218&amp;pageIndex=1" </w:instrText>
            </w:r>
            <w:r>
              <w:fldChar w:fldCharType="separate"/>
            </w:r>
            <w:r>
              <w:rPr>
                <w:rFonts w:ascii="맑은 고딕"/>
                <w:color w:val="800080"/>
                <w:u w:val="single" w:color="800080"/>
              </w:rPr>
              <w:t>https://www.fss.or.kr/fss/bbs/B0000188/view.do?nttId=217327&amp;menuNo=200218&amp;pageIndex=1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(금융감독원 / 4.20)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금융회사 내부망 SaaS 활용 허용, 망분리 규제 예외 적용으로 클라우드 도입 확대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정보보호 통제 강화 전제, 개인정보 처리 제한 및 보안평가·관리체계 의무화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업무 효율성·협업·생산성 향상 기대, AI·디지털 전환 기반 마련 및 IT 운영 부담 완화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2.2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신현송 한국은행 총재 취임사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"https://www.bok.or.kr/portal/bbs/B0000502/view.do\\?nttId=10097596&amp;searchCnd=1&amp;searchKwd=&amp;depth2=200038&amp;depth2=201156&amp;depth=200038&amp;depth=201156&amp;pageUnit=10&amp;pageIndex=1&amp;programType=newsData&amp;menuNo=201265&amp;oldMenuNo=201150" </w:instrText>
            </w:r>
            <w:r>
              <w:fldChar w:fldCharType="separate"/>
            </w:r>
            <w:r>
              <w:rPr>
                <w:rFonts w:ascii="맑은 고딕"/>
                <w:color w:val="800080"/>
                <w:u w:val="single" w:color="800080"/>
              </w:rPr>
              <w:t>https://www.bok.or.kr/portal/bbs/B0000502/view.do?nttId=10097596&amp;searchCnd=1&amp;searchKwd=&amp;depth2=200038&amp;depth2=201156&amp;depth=200038&amp;depth=201156&amp;pageUnit=10&amp;pageIndex=1&amp;programType=newsData&amp;menuNo=201265&amp;oldMenuNo=201150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(한국은행 / 4.21)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한국은행 통화정책 신중·유연 운영 강조, 물가안정·금융안정 동시 달성 및 정책 공조 강화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금융안정 역할 확대, 비은행·시장연계 리스크 대응 및 조기경보 체계 고도화 추진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원화 국제화·디지털화 대응(CBDC 등) 및 구조개혁 연구 강화, 중앙은행 역할 확장 방향 제시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2.3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구윤철 경제부총리-신현송 한국은행 총재 회동 결과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"https://www.bok.or.kr/portal/bbs/B0000502/view.do\\?nttId=10097646&amp;searchCnd=1&amp;searchKwd=&amp;depth2=200038&amp;depth2=201156&amp;depth=200038&amp;depth=201156&amp;pageUnit=10&amp;pageIndex=1&amp;programType=newsData&amp;menuNo=201265&amp;oldMenuNo=201150"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</w:rPr>
              <w:t>https://www.bok.or.kr/portal/bbs/B0000502/view.do?nttId=10097646&amp;searchCnd=1&amp;searchKwd=&amp;depth2=200038&amp;depth2=201156&amp;depth=200038&amp;depth=201156&amp;pageUnit=10&amp;pageIndex=1&amp;programType=newsData&amp;menuNo=201265&amp;oldMenuNo=201150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(한국은행 / 4.23)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한국은행·정부 재정·통화정책 공조 강화 합의, 물가·경기 불확실성 대응 협력 확대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금융·외환시장 안정 협력 지속, 외환시장 24시간 개장·원화 국제화 추진 방향 제시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AI·구조개혁 등 성장전략 공감대 형성, 정부-중앙은행 간 상시 소통체계 강화 계획</w:t>
            </w:r>
          </w:p>
        </w:tc>
      </w:tr>
    </w:tbl>
    <w:p>
      <w:pPr>
        <w:pStyle w:val="0"/>
        <w:widowControl w:val="off"/>
        <w:spacing w:line="240"/>
      </w:pPr>
    </w:p>
    <w:p>
      <w:pPr>
        <w:spacing w:line="240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52"/>
        <w:gridCol w:w="9156"/>
      </w:tblGrid>
      <w:tr>
        <w:trPr>
          <w:trHeight w:val="367" w:hRule="atLeast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 w:eastAsia="맑은 고딕"/>
                <w:b/>
                <w:sz w:val="26"/>
              </w:rPr>
              <w:t>3. 금융연구소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3.1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 w:eastAsia="맑은 고딕"/>
                <w:b/>
                <w:spacing w:val="-10"/>
              </w:rPr>
              <w:t xml:space="preserve"> 낭비는 줄이고, 가치는 키우는 순환경제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"https://www.kbfg.com/kbresearch/report/reportView.do\\?reportId=2000490" </w:instrText>
            </w:r>
            <w:r>
              <w:fldChar w:fldCharType="separate"/>
            </w:r>
            <w:r>
              <w:rPr>
                <w:rFonts w:ascii="맑은 고딕"/>
                <w:color w:val="800080"/>
                <w:u w:val="single" w:color="800080"/>
              </w:rPr>
              <w:t>https://www.kbfg.com/kbresearch/report/reportView.do?reportId=2000490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(KB경영연구소 / 4.20)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선형경제 한계 속 순환경제 부상, 자원 효율·재사용 기반 지속가능 성장 모델 전환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제품 설계·수명 연장·공유·서비스화 등 전 생애주기 혁신 통해 자원 순환 극대화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정책·제도·금융 결합 필요, 자금공급·리스크관리·자문 통해 산업 전환 촉진 역할 강조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3.2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 w:eastAsia="맑은 고딕"/>
                <w:b/>
                <w:spacing w:val="-10"/>
              </w:rPr>
              <w:t xml:space="preserve"> 미국 서반구 전략의 주요 내용 및 영향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"https://rd.kdb.co.kr/index.jsp" </w:instrText>
            </w:r>
            <w:r>
              <w:fldChar w:fldCharType="separate"/>
            </w:r>
            <w:r>
              <w:rPr>
                <w:rFonts w:ascii="맑은 고딕"/>
                <w:color w:val="0000FF"/>
                <w:u w:val="single" w:color="0000FF"/>
              </w:rPr>
              <w:t>https://rd.kdb.co.kr/index.jsp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(KDB 미래전략연구소 / 4.20)</w:t>
            </w:r>
          </w:p>
        </w:tc>
      </w:tr>
      <w:tr>
        <w:trPr>
          <w:trHeight w:val="1221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spacing w:line="240"/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미국 서반구 전략 추진, 북극·중남미 중심 안보·공급망 주도권 확보 및 세력권 재편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북극권 자원·물류·군사 요충지 부상, 그린란드 중심 미·러 경쟁 심화 및 전략적 가치 확대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동맹 구조 변화 및 중국·러시아 영향력 확대 여지, 글로벌 지정학 경쟁 구도 재편 영향</w:t>
            </w:r>
          </w:p>
        </w:tc>
      </w:tr>
      <w:tr>
        <w:trPr>
          <w:trHeight w:val="1386" w:hRule="atLeast"/>
        </w:trPr>
        <w:tc>
          <w:tcPr>
            <w:tcW w:w="652" w:type="dxa"/>
            <w:vMerge w:val="restart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  <w:r>
              <w:rPr>
                <w:rFonts w:ascii="맑은 고딕"/>
                <w:b/>
                <w:sz w:val="22"/>
              </w:rPr>
              <w:t>3.3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</w:pPr>
            <w:r>
              <w:rPr>
                <w:rFonts w:ascii="맑은 고딕"/>
                <w:b/>
                <w:spacing w:val="-10"/>
              </w:rPr>
              <w:t>▣</w:t>
            </w:r>
            <w:r>
              <w:rPr>
                <w:rFonts w:ascii="맑은 고딕"/>
                <w:b/>
                <w:spacing w:val="-10"/>
              </w:rPr>
              <w:t xml:space="preserve"> Vietnam Review 2026-4</w:t>
            </w:r>
          </w:p>
          <w:p>
            <w:pPr>
              <w:pStyle w:val="0"/>
              <w:widowControl w:val="off"/>
              <w:spacing w:line="240" w:lineRule="auto"/>
            </w:pPr>
            <w:r>
              <w:fldChar w:fldCharType="begin"/>
            </w:r>
            <w:r>
              <w:instrText xml:space="preserve"> HYPERLINK "https://www.wfri.re.kr/ko/web/serial/eastSouthAsia.php\\?idx=2588&amp;page_type=view&amp;mode=view&amp;page=&amp;page_limit=&amp;search_key=front&amp;search_type=card" </w:instrText>
            </w:r>
            <w:r>
              <w:fldChar w:fldCharType="separate"/>
            </w:r>
            <w:r>
              <w:rPr>
                <w:rFonts w:ascii="맑은 고딕"/>
                <w:color w:val="800080"/>
                <w:u w:val="single" w:color="800080"/>
              </w:rPr>
              <w:t>https://www.wfri.re.kr/ko/web/serial/eastSouthAsia.php?idx=2588&amp;page_type=view&amp;mode=view&amp;page=&amp;page_limit=&amp;search_key=front&amp;search_type=card</w:t>
            </w:r>
            <w:r>
              <w:fldChar w:fldCharType="end"/>
            </w:r>
            <w:r>
              <w:rPr>
                <w:rFonts w:ascii="맑은 고딕" w:eastAsia="맑은 고딕"/>
              </w:rPr>
              <w:t xml:space="preserve"> (우리금융경영연구소 / 4.23)</w:t>
            </w:r>
          </w:p>
        </w:tc>
      </w:tr>
      <w:tr>
        <w:trPr>
          <w:trHeight w:val="1530" w:hRule="atLeast"/>
        </w:trPr>
        <w:tc>
          <w:tcPr>
            <w:tcW w:w="652" w:type="dxa"/>
            <w:vMerge w:val="continue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0"/>
              <w:widowControl w:val="off"/>
              <w:wordWrap/>
              <w:jc w:val="center"/>
              <w:spacing w:line="240" w:lineRule="auto"/>
            </w:pPr>
          </w:p>
        </w:tc>
        <w:tc>
          <w:tcPr>
            <w:tcW w:w="9156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베트남 경기 회복세 지속, 수출·소매·산업생산 반등 속 물가 상승·제조업 둔화 병존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  <w:rPr>
                <w:lang w:eastAsia="ko-KR"/>
                <w:rFonts w:hint="eastAsia"/>
                <w:rtl w:val="off"/>
              </w:rPr>
            </w:pPr>
            <w:r>
              <w:rPr>
                <w:rFonts w:ascii="맑은 고딕" w:eastAsia="맑은 고딕"/>
              </w:rPr>
              <w:t>금융시장 변동성 확대, 금리·환율 상승 압력 속 주가 반등 및 향후 금리 동결·환율 안정 전망</w:t>
            </w:r>
          </w:p>
          <w:p>
            <w:pPr>
              <w:pStyle w:val="0"/>
              <w:widowControl w:val="off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/>
              </w:rPr>
              <w:t>스타트업 육성·비현금결제 확대·금리 인하 등 정책 추진, 제조업 비용 부담 및 공급망 리스크 병존</w:t>
            </w:r>
          </w:p>
        </w:tc>
      </w:tr>
    </w:tbl>
    <w:p>
      <w:pPr>
        <w:pStyle w:val="0"/>
        <w:widowControl w:val="off"/>
        <w:spacing w:line="240"/>
      </w:pPr>
    </w:p>
    <w:sectPr>
      <w:pgSz w:w="11906" w:h="16838"/>
      <w:pgMar w:top="1020" w:right="1020" w:bottom="737" w:left="1020" w:header="397" w:footer="453" w:gutter="0"/>
      <w:cols w:space="0"/>
      <w:docGrid w:linePitch="360"/>
      <w:footnotePr/>
      <w:endnotePr>
        <w:numFmt w:val="decimal"/>
      </w:endnotePr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Arial-BoldMT">
    <w:charset w:val="00"/>
    <w:notTrueType w:val="false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Nanum Myeongjo">
    <w:charset w:val="00"/>
    <w:notTrueType w:val="false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나눔명조">
    <w:panose1 w:val="02020603020101020101"/>
    <w:family w:val="NanumMyeongjo"/>
    <w:charset w:val="00"/>
    <w:notTrueType w:val="false"/>
    <w:sig w:usb0="7FFFFFFF" w:usb1="01D7FCFB" w:usb2="00000010" w:usb3="00000001" w:csb0="00080001" w:csb1="00000001"/>
  </w:font>
  <w:font w:name="HCI Tulip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0"/>
      <w:widowControl w:val="off"/>
    </w:pPr>
    <w:r>
      <w:drawing>
        <wp:inline distT="0" distB="0" distL="0" distR="0">
          <wp:extent cx="958977" cy="180975"/>
          <wp:effectExtent l="0" t="0" r="0" b="0"/>
          <wp:docPr id="2049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" name="그림 %d 1"/>
                  <pic:cNvPicPr>
                    <a:picLocks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977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7fe50"/>
    <w:multiLevelType w:val="hybridMultilevel"/>
    <w:lvl w:ilvl="0">
      <w:start w:val="1"/>
      <w:numFmt w:val="bullet"/>
      <w:lvlText w:val="-"/>
      <w:lvlJc w:val="left"/>
      <w:suff w:val="space"/>
    </w:lvl>
  </w:abstractNum>
  <w:abstractNum w:abstractNumId="1">
    <w:nsid w:val="ffeff740"/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2">
    <w:nsid w:val="fffbfba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3">
    <w:nsid w:val="ffffff8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4">
    <w:nsid w:val="effbff7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5">
    <w:nsid w:val="ffffff1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6">
    <w:nsid w:val="bfffee6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7">
    <w:nsid w:val="fdefff80"/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lvlJc w:val="left"/>
      <w:suff w:val="nothing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9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10">
    <w:name w:val="머리말"/>
    <w:uiPriority w:val="10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11">
    <w:name w:val="각주"/>
    <w:uiPriority w:val="11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12">
    <w:name w:val="미주"/>
    <w:uiPriority w:val="12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13">
    <w:name w:val="메모"/>
    <w:uiPriority w:val="13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  <w:spacing w:val="-4"/>
    </w:rPr>
  </w:style>
  <w:style w:type="paragraph" w:customStyle="1" w:styleId="14">
    <w:name w:val="차례 제목"/>
    <w:uiPriority w:val="14"/>
    <w:pPr>
      <w:ind w:left="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5">
    <w:name w:val="차례 1"/>
    <w:uiPriority w:val="15"/>
    <w:pPr>
      <w:ind w:left="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16">
    <w:name w:val="차례 2"/>
    <w:uiPriority w:val="16"/>
    <w:pPr>
      <w:ind w:left="22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17">
    <w:name w:val="차례 3"/>
    <w:uiPriority w:val="17"/>
    <w:pPr>
      <w:ind w:left="440" w:right="0" w:firstLine="0"/>
      <w:autoSpaceDE/>
      <w:autoSpaceDN/>
      <w:widowControl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18">
    <w:name w:val="xl65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bottom"/>
    </w:pPr>
    <w:rPr>
      <w:rFonts w:ascii="Arial" w:eastAsia="Arial-BoldMT"/>
      <w:color w:val="000000"/>
      <w:sz w:val="20"/>
    </w:rPr>
  </w:style>
  <w:style w:type="paragraph" w:customStyle="1" w:styleId="19">
    <w:name w:val="Default"/>
    <w:uiPriority w:val="19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Times New Roman" w:eastAsia="맑은 고딕"/>
      <w:color w:val="000000"/>
      <w:sz w:val="24"/>
    </w:rPr>
  </w:style>
  <w:style w:type="paragraph" w:customStyle="1" w:styleId="20">
    <w:name w:val="xl67"/>
    <w:uiPriority w:val="20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21">
    <w:name w:val="xl68"/>
    <w:uiPriority w:val="21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22">
    <w:name w:val="xl69"/>
    <w:uiPriority w:val="22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돋움" w:eastAsia="돋움"/>
      <w:color w:val="000000"/>
      <w:sz w:val="18"/>
    </w:rPr>
  </w:style>
  <w:style w:type="paragraph" w:customStyle="1" w:styleId="23">
    <w:name w:val="xl73"/>
    <w:uiPriority w:val="23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4">
    <w:name w:val="xl74"/>
    <w:uiPriority w:val="24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5">
    <w:name w:val="xl75"/>
    <w:uiPriority w:val="25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6">
    <w:name w:val="xl76"/>
    <w:uiPriority w:val="26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7">
    <w:name w:val="xl70"/>
    <w:uiPriority w:val="27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8">
    <w:name w:val="xl78"/>
    <w:uiPriority w:val="28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29">
    <w:name w:val="xl79"/>
    <w:uiPriority w:val="29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30">
    <w:name w:val="xl80"/>
    <w:uiPriority w:val="30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31">
    <w:name w:val="xl81"/>
    <w:uiPriority w:val="31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color w:val="000000"/>
      <w:sz w:val="18"/>
    </w:rPr>
  </w:style>
  <w:style w:type="paragraph" w:customStyle="1" w:styleId="32">
    <w:name w:val="xl83"/>
    <w:uiPriority w:val="32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3">
    <w:name w:val="xl84"/>
    <w:uiPriority w:val="33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4">
    <w:name w:val="xl85"/>
    <w:uiPriority w:val="34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5">
    <w:name w:val="xl86"/>
    <w:uiPriority w:val="35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36">
    <w:name w:val="조문"/>
    <w:uiPriority w:val="36"/>
    <w:pPr>
      <w:ind w:left="300" w:right="0" w:hanging="30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08" w:lineRule="auto"/>
      <w:textAlignment w:val="baseline"/>
    </w:pPr>
    <w:rPr>
      <w:rFonts w:ascii="HCI Tulip" w:eastAsia="휴먼명조"/>
      <w:color w:val="000000"/>
      <w:sz w:val="22"/>
      <w:spacing w:val="-1"/>
    </w:rPr>
  </w:style>
  <w:style w:type="paragraph" w:customStyle="1" w:styleId="37">
    <w:name w:val="호"/>
    <w:uiPriority w:val="37"/>
    <w:pPr>
      <w:ind w:left="800" w:right="0" w:hanging="30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HCI Tulip" w:eastAsia="휴먼명조"/>
      <w:color w:val="000000"/>
      <w:sz w:val="22"/>
      <w:spacing w:val="2"/>
    </w:rPr>
  </w:style>
  <w:style w:type="paragraph" w:customStyle="1" w:styleId="38">
    <w:name w:val="xl66"/>
    <w:uiPriority w:val="38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굴림" w:eastAsia="굴림"/>
      <w:color w:val="000000"/>
      <w:sz w:val="22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2020년 제12차 이사회 및 위원회 일정</dc:title>
  <dc:subject/>
  <dc:creator>211021</dc:creator>
  <cp:keywords/>
  <dc:description/>
  <cp:lastModifiedBy>Moon</cp:lastModifiedBy>
  <cp:revision>1</cp:revision>
  <dcterms:created xsi:type="dcterms:W3CDTF">2020-12-16T01:12:12Z</dcterms:created>
  <dcterms:modified xsi:type="dcterms:W3CDTF">2026-04-30T04:51:58Z</dcterms:modified>
  <cp:version>1300.0100.01</cp:version>
</cp:coreProperties>
</file>