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宋体"/>
          <w:sz w:val="32"/>
        </w:rPr>
        <w:t>病例对比与第二轮修改策略</w:t>
      </w:r>
    </w:p>
    <w:p>
      <w:r>
        <w:rPr>
          <w:rFonts w:ascii="Times New Roman" w:hAnsi="Times New Roman" w:eastAsia="宋体"/>
          <w:sz w:val="24"/>
        </w:rPr>
        <w:t>依据：本次病例原稿、原图审计和作者提供的三篇完整病例报告。以下比较未冒充已经完成的PubMed检索；当前对NCBI的网络请求受限。比较的是病例报告的信息质量及临床启示，不是治疗优劣的对照试验。不同宿主、病原、起病阶段及观察时长，不能直接用视力或生存结局排序治疗效果。</w:t>
      </w:r>
    </w:p>
    <w:p>
      <w:pPr>
        <w:pStyle w:val="Heading2"/>
      </w:pPr>
      <w:r>
        <w:rPr>
          <w:rFonts w:ascii="Times New Roman" w:hAnsi="Times New Roman" w:eastAsia="宋体"/>
          <w:sz w:val="24"/>
        </w:rPr>
        <w:t>综合判断</w:t>
      </w:r>
    </w:p>
    <w:p>
      <w:r>
        <w:rPr>
          <w:rFonts w:ascii="Times New Roman" w:hAnsi="Times New Roman" w:eastAsia="宋体"/>
          <w:sz w:val="24"/>
        </w:rPr>
        <w:t>本例有发表价值，但目前较适合定位为“初诊呈视网膜血管炎样改变、最终由培养与靶向测序支持的黄曲霉眼内炎诊断病例”，不宜定位为首次黄曲霉眼内炎、免疫功能正常人群首例、确诊肺源播散或新治疗成功病例。它相对有力的材料是诊断转折及不同方法所得病原结果相符；相对薄弱的是完整的病例证据链，尤其眼内标本具体来源、外院阴性检测方法、实际给药记录、动态影像和最终结局。</w:t>
      </w:r>
    </w:p>
    <w:p>
      <w:r>
        <w:rPr>
          <w:rFonts w:ascii="Times New Roman" w:hAnsi="Times New Roman" w:eastAsia="宋体"/>
          <w:sz w:val="24"/>
        </w:rPr>
        <w:t>与单纯扩充文献相比，补齐一次近期随访、原始用药单和准确图像时点，更可能实质性提高稿件质量。讨论可以深化，但不能用更长的讨论代替病例数据。</w:t>
      </w:r>
    </w:p>
    <w:p>
      <w:pPr>
        <w:pStyle w:val="Heading2"/>
      </w:pPr>
      <w:r>
        <w:rPr>
          <w:rFonts w:ascii="Times New Roman" w:hAnsi="Times New Roman" w:eastAsia="宋体"/>
          <w:sz w:val="24"/>
        </w:rPr>
        <w:t>核心事实对照（表内为不同病例，不能据结局作治疗效果排名）</w:t>
      </w:r>
    </w:p>
    <w:tbl>
      <w:tblPr>
        <w:tblStyle w:val="TableGrid"/>
        <w:tblW w:type="auto" w:w="0"/>
        <w:tblLook w:firstColumn="1" w:firstRow="1" w:lastColumn="0" w:lastRow="0" w:noHBand="0" w:noVBand="1" w:val="04A0"/>
      </w:tblPr>
      <w:tblGrid>
        <w:gridCol w:w="1814"/>
        <w:gridCol w:w="1814"/>
        <w:gridCol w:w="1814"/>
        <w:gridCol w:w="1814"/>
        <w:gridCol w:w="1814"/>
      </w:tblGrid>
      <w:tr>
        <w:trPr>
          <w:tblHeader/>
        </w:trPr>
        <w:tc>
          <w:tcPr>
            <w:tcW w:type="dxa" w:w="1814"/>
            <w:shd w:fill="EDEFF2"/>
          </w:tcPr>
          <w:p>
            <w:pPr>
              <w:spacing w:line="276" w:lineRule="auto" w:after="60"/>
            </w:pPr>
            <w:r>
              <w:rPr>
                <w:rFonts w:ascii="Times New Roman" w:hAnsi="Times New Roman" w:eastAsia="宋体"/>
                <w:b/>
                <w:sz w:val="20"/>
              </w:rPr>
              <w:t>比较维度</w:t>
            </w:r>
          </w:p>
        </w:tc>
        <w:tc>
          <w:tcPr>
            <w:tcW w:type="dxa" w:w="1814"/>
            <w:shd w:fill="EDEFF2"/>
          </w:tcPr>
          <w:p>
            <w:pPr>
              <w:spacing w:line="276" w:lineRule="auto" w:after="60"/>
            </w:pPr>
            <w:r>
              <w:rPr>
                <w:rFonts w:ascii="Times New Roman" w:hAnsi="Times New Roman" w:eastAsia="宋体"/>
                <w:b/>
                <w:sz w:val="20"/>
              </w:rPr>
              <w:t>本病例</w:t>
            </w:r>
          </w:p>
        </w:tc>
        <w:tc>
          <w:tcPr>
            <w:tcW w:type="dxa" w:w="1814"/>
            <w:shd w:fill="EDEFF2"/>
          </w:tcPr>
          <w:p>
            <w:pPr>
              <w:spacing w:line="276" w:lineRule="auto" w:after="60"/>
            </w:pPr>
            <w:r>
              <w:rPr>
                <w:rFonts w:ascii="Times New Roman" w:hAnsi="Times New Roman" w:eastAsia="宋体"/>
                <w:b/>
                <w:sz w:val="20"/>
              </w:rPr>
              <w:t>肝衰竭合并黄曲霉眼内炎（梁等，2022）</w:t>
            </w:r>
          </w:p>
        </w:tc>
        <w:tc>
          <w:tcPr>
            <w:tcW w:type="dxa" w:w="1814"/>
            <w:shd w:fill="EDEFF2"/>
          </w:tcPr>
          <w:p>
            <w:pPr>
              <w:spacing w:line="276" w:lineRule="auto" w:after="60"/>
            </w:pPr>
            <w:r>
              <w:rPr>
                <w:rFonts w:ascii="Times New Roman" w:hAnsi="Times New Roman" w:eastAsia="宋体"/>
                <w:b/>
                <w:sz w:val="20"/>
              </w:rPr>
              <w:t>肺曲霉菌病合并内源性真菌性眼内炎（吴等，2025）</w:t>
            </w:r>
          </w:p>
        </w:tc>
        <w:tc>
          <w:tcPr>
            <w:tcW w:type="dxa" w:w="1814"/>
            <w:shd w:fill="EDEFF2"/>
          </w:tcPr>
          <w:p>
            <w:pPr>
              <w:spacing w:line="276" w:lineRule="auto" w:after="60"/>
            </w:pPr>
            <w:r>
              <w:rPr>
                <w:rFonts w:ascii="Times New Roman" w:hAnsi="Times New Roman" w:eastAsia="宋体"/>
                <w:b/>
                <w:sz w:val="20"/>
              </w:rPr>
              <w:t>误诊为真菌性眼内炎的诺卡菌眼内炎（周等，2025）</w:t>
            </w:r>
          </w:p>
        </w:tc>
      </w:tr>
      <w:tr>
        <w:tc>
          <w:tcPr>
            <w:tcW w:type="dxa" w:w="1814"/>
          </w:tcPr>
          <w:p>
            <w:pPr>
              <w:spacing w:line="276" w:lineRule="auto" w:after="60"/>
            </w:pPr>
            <w:r>
              <w:rPr>
                <w:rFonts w:ascii="Times New Roman" w:hAnsi="Times New Roman" w:eastAsia="宋体"/>
                <w:sz w:val="20"/>
              </w:rPr>
              <w:t>宿主背景</w:t>
            </w:r>
          </w:p>
        </w:tc>
        <w:tc>
          <w:tcPr>
            <w:tcW w:type="dxa" w:w="1814"/>
          </w:tcPr>
          <w:p>
            <w:pPr>
              <w:spacing w:line="276" w:lineRule="auto" w:after="60"/>
            </w:pPr>
            <w:r>
              <w:rPr>
                <w:rFonts w:ascii="Times New Roman" w:hAnsi="Times New Roman" w:eastAsia="宋体"/>
                <w:sz w:val="20"/>
              </w:rPr>
              <w:t>38岁男性，无已知全身基础病、发病前眼外伤或手术史；未提供系统免疫评估</w:t>
            </w:r>
          </w:p>
        </w:tc>
        <w:tc>
          <w:tcPr>
            <w:tcW w:type="dxa" w:w="1814"/>
          </w:tcPr>
          <w:p>
            <w:pPr>
              <w:spacing w:line="276" w:lineRule="auto" w:after="60"/>
            </w:pPr>
            <w:r>
              <w:rPr>
                <w:rFonts w:ascii="Times New Roman" w:hAnsi="Times New Roman" w:eastAsia="宋体"/>
                <w:sz w:val="20"/>
              </w:rPr>
              <w:t>47岁男性，乙肝相关肝衰竭、糖尿病，系统病情严重</w:t>
            </w:r>
          </w:p>
        </w:tc>
        <w:tc>
          <w:tcPr>
            <w:tcW w:type="dxa" w:w="1814"/>
          </w:tcPr>
          <w:p>
            <w:pPr>
              <w:spacing w:line="276" w:lineRule="auto" w:after="60"/>
            </w:pPr>
            <w:r>
              <w:rPr>
                <w:rFonts w:ascii="Times New Roman" w:hAnsi="Times New Roman" w:eastAsia="宋体"/>
                <w:sz w:val="20"/>
              </w:rPr>
              <w:t>27岁女性，无已知糖尿病等典型病史；胸部影像提示肺隔离症</w:t>
            </w:r>
          </w:p>
        </w:tc>
        <w:tc>
          <w:tcPr>
            <w:tcW w:type="dxa" w:w="1814"/>
          </w:tcPr>
          <w:p>
            <w:pPr>
              <w:spacing w:line="276" w:lineRule="auto" w:after="60"/>
            </w:pPr>
            <w:r>
              <w:rPr>
                <w:rFonts w:ascii="Times New Roman" w:hAnsi="Times New Roman" w:eastAsia="宋体"/>
                <w:sz w:val="20"/>
              </w:rPr>
              <w:t>67岁男性，铁丝伤及多次眼手术、糖尿病控制欠佳，较长时间激素暴露</w:t>
            </w:r>
          </w:p>
        </w:tc>
      </w:tr>
      <w:tr>
        <w:tc>
          <w:tcPr>
            <w:tcW w:type="dxa" w:w="1814"/>
          </w:tcPr>
          <w:p>
            <w:pPr>
              <w:spacing w:line="276" w:lineRule="auto" w:after="60"/>
            </w:pPr>
            <w:r>
              <w:rPr>
                <w:rFonts w:ascii="Times New Roman" w:hAnsi="Times New Roman" w:eastAsia="宋体"/>
                <w:sz w:val="20"/>
              </w:rPr>
              <w:t>初始诊断困难</w:t>
            </w:r>
          </w:p>
        </w:tc>
        <w:tc>
          <w:tcPr>
            <w:tcW w:type="dxa" w:w="1814"/>
          </w:tcPr>
          <w:p>
            <w:pPr>
              <w:spacing w:line="276" w:lineRule="auto" w:after="60"/>
            </w:pPr>
            <w:r>
              <w:rPr>
                <w:rFonts w:ascii="Times New Roman" w:hAnsi="Times New Roman" w:eastAsia="宋体"/>
                <w:sz w:val="20"/>
              </w:rPr>
              <w:t>前房较清而黄斑黄白病灶、出血及血管造影异常突出，初诊视网膜血管炎</w:t>
            </w:r>
          </w:p>
        </w:tc>
        <w:tc>
          <w:tcPr>
            <w:tcW w:type="dxa" w:w="1814"/>
          </w:tcPr>
          <w:p>
            <w:pPr>
              <w:spacing w:line="276" w:lineRule="auto" w:after="60"/>
            </w:pPr>
            <w:r>
              <w:rPr>
                <w:rFonts w:ascii="Times New Roman" w:hAnsi="Times New Roman" w:eastAsia="宋体"/>
                <w:sz w:val="20"/>
              </w:rPr>
              <w:t>肝衰竭治疗期间出现眼症，双眼先后受累，眼症进展迅速</w:t>
            </w:r>
          </w:p>
        </w:tc>
        <w:tc>
          <w:tcPr>
            <w:tcW w:type="dxa" w:w="1814"/>
          </w:tcPr>
          <w:p>
            <w:pPr>
              <w:spacing w:line="276" w:lineRule="auto" w:after="60"/>
            </w:pPr>
            <w:r>
              <w:rPr>
                <w:rFonts w:ascii="Times New Roman" w:hAnsi="Times New Roman" w:eastAsia="宋体"/>
                <w:sz w:val="20"/>
              </w:rPr>
              <w:t>发热/呼吸症状后眼部起病，外院曾诊断葡萄膜炎</w:t>
            </w:r>
          </w:p>
        </w:tc>
        <w:tc>
          <w:tcPr>
            <w:tcW w:type="dxa" w:w="1814"/>
          </w:tcPr>
          <w:p>
            <w:pPr>
              <w:spacing w:line="276" w:lineRule="auto" w:after="60"/>
            </w:pPr>
            <w:r>
              <w:rPr>
                <w:rFonts w:ascii="Times New Roman" w:hAnsi="Times New Roman" w:eastAsia="宋体"/>
                <w:sz w:val="20"/>
              </w:rPr>
              <w:t>前房白色、团块/绒毛样渗出，先后按一般细菌及真菌感染治疗，mNGS后修正</w:t>
            </w:r>
          </w:p>
        </w:tc>
      </w:tr>
      <w:tr>
        <w:tc>
          <w:tcPr>
            <w:tcW w:type="dxa" w:w="1814"/>
          </w:tcPr>
          <w:p>
            <w:pPr>
              <w:spacing w:line="276" w:lineRule="auto" w:after="60"/>
            </w:pPr>
            <w:r>
              <w:rPr>
                <w:rFonts w:ascii="Times New Roman" w:hAnsi="Times New Roman" w:eastAsia="宋体"/>
                <w:sz w:val="20"/>
              </w:rPr>
              <w:t>眼部病原证据</w:t>
            </w:r>
          </w:p>
        </w:tc>
        <w:tc>
          <w:tcPr>
            <w:tcW w:type="dxa" w:w="1814"/>
          </w:tcPr>
          <w:p>
            <w:pPr>
              <w:spacing w:line="276" w:lineRule="auto" w:after="60"/>
            </w:pPr>
            <w:r>
              <w:rPr>
                <w:rFonts w:ascii="Times New Roman" w:hAnsi="Times New Roman" w:eastAsia="宋体"/>
                <w:sz w:val="20"/>
              </w:rPr>
              <w:t>培养黄曲霉；靶向捕获NGS黄曲霉复合群，序列数8 361、真菌类别相对丰度85.1%；样本具体来源待核</w:t>
            </w:r>
          </w:p>
        </w:tc>
        <w:tc>
          <w:tcPr>
            <w:tcW w:type="dxa" w:w="1814"/>
          </w:tcPr>
          <w:p>
            <w:pPr>
              <w:spacing w:line="276" w:lineRule="auto" w:after="60"/>
            </w:pPr>
            <w:r>
              <w:rPr>
                <w:rFonts w:ascii="Times New Roman" w:hAnsi="Times New Roman" w:eastAsia="宋体"/>
                <w:sz w:val="20"/>
              </w:rPr>
              <w:t>眼内分泌物培养黄曲霉；无同类分子检测记录</w:t>
            </w:r>
          </w:p>
        </w:tc>
        <w:tc>
          <w:tcPr>
            <w:tcW w:type="dxa" w:w="1814"/>
          </w:tcPr>
          <w:p>
            <w:pPr>
              <w:spacing w:line="276" w:lineRule="auto" w:after="60"/>
            </w:pPr>
            <w:r>
              <w:rPr>
                <w:rFonts w:ascii="Times New Roman" w:hAnsi="Times New Roman" w:eastAsia="宋体"/>
                <w:sz w:val="20"/>
              </w:rPr>
              <w:t>眼玻璃体mNGS烟曲霉，序列数77 553；文中所述其他检测多为阴性，未见相符的曲霉培养证据</w:t>
            </w:r>
          </w:p>
        </w:tc>
        <w:tc>
          <w:tcPr>
            <w:tcW w:type="dxa" w:w="1814"/>
          </w:tcPr>
          <w:p>
            <w:pPr>
              <w:spacing w:line="276" w:lineRule="auto" w:after="60"/>
            </w:pPr>
            <w:r>
              <w:rPr>
                <w:rFonts w:ascii="Times New Roman" w:hAnsi="Times New Roman" w:eastAsia="宋体"/>
                <w:sz w:val="20"/>
              </w:rPr>
              <w:t>前房渗出物细菌/真菌培养阴性；眼内液mNGS检出诺卡菌属，未给出培养确证</w:t>
            </w:r>
          </w:p>
        </w:tc>
      </w:tr>
      <w:tr>
        <w:tc>
          <w:tcPr>
            <w:tcW w:type="dxa" w:w="1814"/>
          </w:tcPr>
          <w:p>
            <w:pPr>
              <w:spacing w:line="276" w:lineRule="auto" w:after="60"/>
            </w:pPr>
            <w:r>
              <w:rPr>
                <w:rFonts w:ascii="Times New Roman" w:hAnsi="Times New Roman" w:eastAsia="宋体"/>
                <w:sz w:val="20"/>
              </w:rPr>
              <w:t>眼外感染源</w:t>
            </w:r>
          </w:p>
        </w:tc>
        <w:tc>
          <w:tcPr>
            <w:tcW w:type="dxa" w:w="1814"/>
          </w:tcPr>
          <w:p>
            <w:pPr>
              <w:spacing w:line="276" w:lineRule="auto" w:after="60"/>
            </w:pPr>
            <w:r>
              <w:rPr>
                <w:rFonts w:ascii="Times New Roman" w:hAnsi="Times New Roman" w:eastAsia="宋体"/>
                <w:sz w:val="20"/>
              </w:rPr>
              <w:t>既往咳嗽发热，胸CT右下肺含气囊肿；未明确感染灶或血源传播</w:t>
            </w:r>
          </w:p>
        </w:tc>
        <w:tc>
          <w:tcPr>
            <w:tcW w:type="dxa" w:w="1814"/>
          </w:tcPr>
          <w:p>
            <w:pPr>
              <w:spacing w:line="276" w:lineRule="auto" w:after="60"/>
            </w:pPr>
            <w:r>
              <w:rPr>
                <w:rFonts w:ascii="Times New Roman" w:hAnsi="Times New Roman" w:eastAsia="宋体"/>
                <w:sz w:val="20"/>
              </w:rPr>
              <w:t>有肺部感染影像及后期真菌标志物阳性，但缺乏肺眼同种病原的直接证实</w:t>
            </w:r>
          </w:p>
        </w:tc>
        <w:tc>
          <w:tcPr>
            <w:tcW w:type="dxa" w:w="1814"/>
          </w:tcPr>
          <w:p>
            <w:pPr>
              <w:spacing w:line="276" w:lineRule="auto" w:after="60"/>
            </w:pPr>
            <w:r>
              <w:rPr>
                <w:rFonts w:ascii="Times New Roman" w:hAnsi="Times New Roman" w:eastAsia="宋体"/>
                <w:sz w:val="20"/>
              </w:rPr>
              <w:t>肺部实变、囊腔及肺隔离症影像，治疗后好转；肺泡灌洗液与眼内检出病原不一致，未取得肺组织证据</w:t>
            </w:r>
          </w:p>
        </w:tc>
        <w:tc>
          <w:tcPr>
            <w:tcW w:type="dxa" w:w="1814"/>
          </w:tcPr>
          <w:p>
            <w:pPr>
              <w:spacing w:line="276" w:lineRule="auto" w:after="60"/>
            </w:pPr>
            <w:r>
              <w:rPr>
                <w:rFonts w:ascii="Times New Roman" w:hAnsi="Times New Roman" w:eastAsia="宋体"/>
                <w:sz w:val="20"/>
              </w:rPr>
              <w:t>外伤及手术提供外源性感染线索，但作者也承认感染确切机制及时间不清</w:t>
            </w:r>
          </w:p>
        </w:tc>
      </w:tr>
      <w:tr>
        <w:tc>
          <w:tcPr>
            <w:tcW w:type="dxa" w:w="1814"/>
          </w:tcPr>
          <w:p>
            <w:pPr>
              <w:spacing w:line="276" w:lineRule="auto" w:after="60"/>
            </w:pPr>
            <w:r>
              <w:rPr>
                <w:rFonts w:ascii="Times New Roman" w:hAnsi="Times New Roman" w:eastAsia="宋体"/>
                <w:sz w:val="20"/>
              </w:rPr>
              <w:t>干预信息</w:t>
            </w:r>
          </w:p>
        </w:tc>
        <w:tc>
          <w:tcPr>
            <w:tcW w:type="dxa" w:w="1814"/>
          </w:tcPr>
          <w:p>
            <w:pPr>
              <w:spacing w:line="276" w:lineRule="auto" w:after="60"/>
            </w:pPr>
            <w:r>
              <w:rPr>
                <w:rFonts w:ascii="Times New Roman" w:hAnsi="Times New Roman" w:eastAsia="宋体"/>
                <w:sz w:val="20"/>
              </w:rPr>
              <w:t>玻切硅油；口服伏立康唑200 mg每日2次；记载两次眼内伏立康唑，剂量、体积、完整次数及系统疗程缺失</w:t>
            </w:r>
          </w:p>
        </w:tc>
        <w:tc>
          <w:tcPr>
            <w:tcW w:type="dxa" w:w="1814"/>
          </w:tcPr>
          <w:p>
            <w:pPr>
              <w:spacing w:line="276" w:lineRule="auto" w:after="60"/>
            </w:pPr>
            <w:r>
              <w:rPr>
                <w:rFonts w:ascii="Times New Roman" w:hAnsi="Times New Roman" w:eastAsia="宋体"/>
                <w:sz w:val="20"/>
              </w:rPr>
              <w:t>全身治疗、眼内操作和部分药物剂量有记录；危重进展限制眼部长期评价</w:t>
            </w:r>
          </w:p>
        </w:tc>
        <w:tc>
          <w:tcPr>
            <w:tcW w:type="dxa" w:w="1814"/>
          </w:tcPr>
          <w:p>
            <w:pPr>
              <w:spacing w:line="276" w:lineRule="auto" w:after="60"/>
            </w:pPr>
            <w:r>
              <w:rPr>
                <w:rFonts w:ascii="Times New Roman" w:hAnsi="Times New Roman" w:eastAsia="宋体"/>
                <w:sz w:val="20"/>
              </w:rPr>
              <w:t>玻切硅油；全身伏立康唑静脉转口服；眼内伏立康唑剂量及关键日期、后期硅油取出较清楚</w:t>
            </w:r>
          </w:p>
        </w:tc>
        <w:tc>
          <w:tcPr>
            <w:tcW w:type="dxa" w:w="1814"/>
          </w:tcPr>
          <w:p>
            <w:pPr>
              <w:spacing w:line="276" w:lineRule="auto" w:after="60"/>
            </w:pPr>
            <w:r>
              <w:rPr>
                <w:rFonts w:ascii="Times New Roman" w:hAnsi="Times New Roman" w:eastAsia="宋体"/>
                <w:sz w:val="20"/>
              </w:rPr>
              <w:t>多次冲洗/眼内治疗与诊断调整相联系；针对诺卡菌的全身疗程、眼内剂量与频率明确</w:t>
            </w:r>
          </w:p>
        </w:tc>
      </w:tr>
      <w:tr>
        <w:tc>
          <w:tcPr>
            <w:tcW w:type="dxa" w:w="1814"/>
          </w:tcPr>
          <w:p>
            <w:pPr>
              <w:spacing w:line="276" w:lineRule="auto" w:after="60"/>
            </w:pPr>
            <w:r>
              <w:rPr>
                <w:rFonts w:ascii="Times New Roman" w:hAnsi="Times New Roman" w:eastAsia="宋体"/>
                <w:sz w:val="20"/>
              </w:rPr>
              <w:t>图像与时序</w:t>
            </w:r>
          </w:p>
        </w:tc>
        <w:tc>
          <w:tcPr>
            <w:tcW w:type="dxa" w:w="1814"/>
          </w:tcPr>
          <w:p>
            <w:pPr>
              <w:spacing w:line="276" w:lineRule="auto" w:after="60"/>
            </w:pPr>
            <w:r>
              <w:rPr>
                <w:rFonts w:ascii="Times New Roman" w:hAnsi="Times New Roman" w:eastAsia="宋体"/>
                <w:sz w:val="20"/>
              </w:rPr>
              <w:t>有术后第1天眼底及OCT，缺少可核实的初诊和末次动态配对图；另有前节OCT误配风险</w:t>
            </w:r>
          </w:p>
        </w:tc>
        <w:tc>
          <w:tcPr>
            <w:tcW w:type="dxa" w:w="1814"/>
          </w:tcPr>
          <w:p>
            <w:pPr>
              <w:spacing w:line="276" w:lineRule="auto" w:after="60"/>
            </w:pPr>
            <w:r>
              <w:rPr>
                <w:rFonts w:ascii="Times New Roman" w:hAnsi="Times New Roman" w:eastAsia="宋体"/>
                <w:sz w:val="20"/>
              </w:rPr>
              <w:t>以简短病例叙述与系统病情检验为主，无相当的眼底/OCT序列</w:t>
            </w:r>
          </w:p>
        </w:tc>
        <w:tc>
          <w:tcPr>
            <w:tcW w:type="dxa" w:w="1814"/>
          </w:tcPr>
          <w:p>
            <w:pPr>
              <w:spacing w:line="276" w:lineRule="auto" w:after="60"/>
            </w:pPr>
            <w:r>
              <w:rPr>
                <w:rFonts w:ascii="Times New Roman" w:hAnsi="Times New Roman" w:eastAsia="宋体"/>
                <w:sz w:val="20"/>
              </w:rPr>
              <w:t>超声、术中、胸CT、连续眼底和OCT组合，展示活动病灶至瘢痕演变</w:t>
            </w:r>
          </w:p>
        </w:tc>
        <w:tc>
          <w:tcPr>
            <w:tcW w:type="dxa" w:w="1814"/>
          </w:tcPr>
          <w:p>
            <w:pPr>
              <w:spacing w:line="276" w:lineRule="auto" w:after="60"/>
            </w:pPr>
            <w:r>
              <w:rPr>
                <w:rFonts w:ascii="Times New Roman" w:hAnsi="Times New Roman" w:eastAsia="宋体"/>
                <w:sz w:val="20"/>
              </w:rPr>
              <w:t>多时点前节及眼底图片，展示反复渗出、修正诊断和出院状态</w:t>
            </w:r>
          </w:p>
        </w:tc>
      </w:tr>
      <w:tr>
        <w:tc>
          <w:tcPr>
            <w:tcW w:type="dxa" w:w="1814"/>
          </w:tcPr>
          <w:p>
            <w:pPr>
              <w:spacing w:line="276" w:lineRule="auto" w:after="60"/>
            </w:pPr>
            <w:r>
              <w:rPr>
                <w:rFonts w:ascii="Times New Roman" w:hAnsi="Times New Roman" w:eastAsia="宋体"/>
                <w:sz w:val="20"/>
              </w:rPr>
              <w:t>已报告结局</w:t>
            </w:r>
          </w:p>
        </w:tc>
        <w:tc>
          <w:tcPr>
            <w:tcW w:type="dxa" w:w="1814"/>
          </w:tcPr>
          <w:p>
            <w:pPr>
              <w:spacing w:line="276" w:lineRule="auto" w:after="60"/>
            </w:pPr>
            <w:r>
              <w:rPr>
                <w:rFonts w:ascii="Times New Roman" w:hAnsi="Times New Roman" w:eastAsia="宋体"/>
                <w:sz w:val="20"/>
              </w:rPr>
              <w:t>2025-12-24仍眼前指数、前房反应++、出血及浅脱离；首次就诊后约1个月，术后19天；无更晚记录</w:t>
            </w:r>
          </w:p>
        </w:tc>
        <w:tc>
          <w:tcPr>
            <w:tcW w:type="dxa" w:w="1814"/>
          </w:tcPr>
          <w:p>
            <w:pPr>
              <w:spacing w:line="276" w:lineRule="auto" w:after="60"/>
            </w:pPr>
            <w:r>
              <w:rPr>
                <w:rFonts w:ascii="Times New Roman" w:hAnsi="Times New Roman" w:eastAsia="宋体"/>
                <w:sz w:val="20"/>
              </w:rPr>
              <w:t>多种系统并发症及危重病情下死亡；不能把死亡简单归因于眼内炎</w:t>
            </w:r>
          </w:p>
        </w:tc>
        <w:tc>
          <w:tcPr>
            <w:tcW w:type="dxa" w:w="1814"/>
          </w:tcPr>
          <w:p>
            <w:pPr>
              <w:spacing w:line="276" w:lineRule="auto" w:after="60"/>
            </w:pPr>
            <w:r>
              <w:rPr>
                <w:rFonts w:ascii="Times New Roman" w:hAnsi="Times New Roman" w:eastAsia="宋体"/>
                <w:sz w:val="20"/>
              </w:rPr>
              <w:t>2024-03有硅油取出及视力0.05记录，视网膜平伏、黄斑瘢痕；距2022-08发病约19个月</w:t>
            </w:r>
          </w:p>
        </w:tc>
        <w:tc>
          <w:tcPr>
            <w:tcW w:type="dxa" w:w="1814"/>
          </w:tcPr>
          <w:p>
            <w:pPr>
              <w:spacing w:line="276" w:lineRule="auto" w:after="60"/>
            </w:pPr>
            <w:r>
              <w:rPr>
                <w:rFonts w:ascii="Times New Roman" w:hAnsi="Times New Roman" w:eastAsia="宋体"/>
                <w:sz w:val="20"/>
              </w:rPr>
              <w:t>治疗后眼内炎症稳定，出院仍手动视力；系统用药半年，报告随访发病后1年无反复</w:t>
            </w:r>
          </w:p>
        </w:tc>
      </w:tr>
      <w:tr>
        <w:tc>
          <w:tcPr>
            <w:tcW w:type="dxa" w:w="1814"/>
          </w:tcPr>
          <w:p>
            <w:pPr>
              <w:spacing w:line="276" w:lineRule="auto" w:after="60"/>
            </w:pPr>
            <w:r>
              <w:rPr>
                <w:rFonts w:ascii="Times New Roman" w:hAnsi="Times New Roman" w:eastAsia="宋体"/>
                <w:sz w:val="20"/>
              </w:rPr>
              <w:t>可支撑的主要论点</w:t>
            </w:r>
          </w:p>
        </w:tc>
        <w:tc>
          <w:tcPr>
            <w:tcW w:type="dxa" w:w="1814"/>
          </w:tcPr>
          <w:p>
            <w:pPr>
              <w:spacing w:line="276" w:lineRule="auto" w:after="60"/>
            </w:pPr>
            <w:r>
              <w:rPr>
                <w:rFonts w:ascii="Times New Roman" w:hAnsi="Times New Roman" w:eastAsia="宋体"/>
                <w:sz w:val="20"/>
              </w:rPr>
              <w:t>血管炎样后段表现中的感染鉴别；培养与靶向检测的互补解释</w:t>
            </w:r>
          </w:p>
        </w:tc>
        <w:tc>
          <w:tcPr>
            <w:tcW w:type="dxa" w:w="1814"/>
          </w:tcPr>
          <w:p>
            <w:pPr>
              <w:spacing w:line="276" w:lineRule="auto" w:after="60"/>
            </w:pPr>
            <w:r>
              <w:rPr>
                <w:rFonts w:ascii="Times New Roman" w:hAnsi="Times New Roman" w:eastAsia="宋体"/>
                <w:sz w:val="20"/>
              </w:rPr>
              <w:t>高风险系统宿主中眼症识别、全身与眼部病情并行评估</w:t>
            </w:r>
          </w:p>
        </w:tc>
        <w:tc>
          <w:tcPr>
            <w:tcW w:type="dxa" w:w="1814"/>
          </w:tcPr>
          <w:p>
            <w:pPr>
              <w:spacing w:line="276" w:lineRule="auto" w:after="60"/>
            </w:pPr>
            <w:r>
              <w:rPr>
                <w:rFonts w:ascii="Times New Roman" w:hAnsi="Times New Roman" w:eastAsia="宋体"/>
                <w:sz w:val="20"/>
              </w:rPr>
              <w:t>眼外病灶评估、跨学科管理及黄斑损害的长期结局</w:t>
            </w:r>
          </w:p>
        </w:tc>
        <w:tc>
          <w:tcPr>
            <w:tcW w:type="dxa" w:w="1814"/>
          </w:tcPr>
          <w:p>
            <w:pPr>
              <w:spacing w:line="276" w:lineRule="auto" w:after="60"/>
            </w:pPr>
            <w:r>
              <w:rPr>
                <w:rFonts w:ascii="Times New Roman" w:hAnsi="Times New Roman" w:eastAsia="宋体"/>
                <w:sz w:val="20"/>
              </w:rPr>
              <w:t>外观及短暂治疗反应不能确定病原，病原学结果可改变诊断及治疗</w:t>
            </w:r>
          </w:p>
        </w:tc>
      </w:tr>
    </w:tbl>
    <w:p/>
    <w:p>
      <w:pPr>
        <w:pStyle w:val="Heading2"/>
      </w:pPr>
      <w:r>
        <w:rPr>
          <w:rFonts w:ascii="Times New Roman" w:hAnsi="Times New Roman" w:eastAsia="宋体"/>
          <w:sz w:val="24"/>
        </w:rPr>
        <w:t>本例相对的优势</w:t>
      </w:r>
    </w:p>
    <w:p>
      <w:pPr>
        <w:ind w:left="397" w:hanging="397"/>
      </w:pPr>
      <w:r>
        <w:rPr>
          <w:rFonts w:ascii="Times New Roman" w:hAnsi="Times New Roman" w:eastAsia="宋体"/>
          <w:sz w:val="24"/>
        </w:rPr>
        <w:t>1. 诊断过程可围绕一个明确问题展开：初诊并非典型前房积脓，而是后极部病灶、出血和血管炎样造影表现。若补得初诊FFA、眼底及OCT，可形成较有说服力的“最初可见但容易忽略的感染线索”展示。</w:t>
      </w:r>
    </w:p>
    <w:p>
      <w:pPr>
        <w:ind w:left="397" w:hanging="397"/>
      </w:pPr>
      <w:r>
        <w:rPr>
          <w:rFonts w:ascii="Times New Roman" w:hAnsi="Times New Roman" w:eastAsia="宋体"/>
          <w:sz w:val="24"/>
        </w:rPr>
        <w:t>2. 培养与tNGS结果在黄曲霉/黄曲霉复合群层面相符。相较于仅有培养或仅有分子阳性的报告，不同检测原理之间的相符结果可加强病原归因的可信度。不过培养单标“组织”、NGS单标“抽吸液”，必须先核实实际眼内取材部位；不能预先称同一玻璃体标本的双重确证。</w:t>
      </w:r>
    </w:p>
    <w:p>
      <w:pPr>
        <w:ind w:left="397" w:hanging="397"/>
      </w:pPr>
      <w:r>
        <w:rPr>
          <w:rFonts w:ascii="Times New Roman" w:hAnsi="Times New Roman" w:eastAsia="宋体"/>
          <w:sz w:val="24"/>
        </w:rPr>
        <w:t>3. 本例没有已记录的典型发病前眼部侵入事件，也没有已知严重基础病，可以提醒临床在缺少明显风险标签时仍考虑感染。但这属于识别提示，不足以证明免疫健全，也不等于此类病例前所未见。</w:t>
      </w:r>
    </w:p>
    <w:p>
      <w:pPr>
        <w:ind w:left="397" w:hanging="397"/>
      </w:pPr>
      <w:r>
        <w:rPr>
          <w:rFonts w:ascii="Times New Roman" w:hAnsi="Times New Roman" w:eastAsia="宋体"/>
          <w:sz w:val="24"/>
        </w:rPr>
        <w:t>4. 检测方法与报告字段可以写得更准确：明确是靶向捕获NGS而非无偏mNGS，明确85.1%的分母属于真菌类别，避免把序列数当作菌量。这种解释上的严谨有助于稿件可信度，但本身不是新的检验方法或性能研究。</w:t>
      </w:r>
    </w:p>
    <w:p>
      <w:pPr>
        <w:pStyle w:val="Heading2"/>
      </w:pPr>
      <w:r>
        <w:rPr>
          <w:rFonts w:ascii="Times New Roman" w:hAnsi="Times New Roman" w:eastAsia="宋体"/>
          <w:sz w:val="24"/>
        </w:rPr>
        <w:t>本例目前较明显的不足</w:t>
      </w:r>
    </w:p>
    <w:p>
      <w:pPr>
        <w:ind w:left="397" w:hanging="397"/>
      </w:pPr>
      <w:r>
        <w:rPr>
          <w:rFonts w:ascii="Times New Roman" w:hAnsi="Times New Roman" w:eastAsia="宋体"/>
          <w:sz w:val="24"/>
        </w:rPr>
        <w:t>1. 随访与结局最弱。吴等报告能展示活动性病灶至黄斑瘢痕和硅油取出后的状态，周等报告有停药及一年复发观察；本例最后记录仍有活动性炎症及结构异常，无法回答抗真菌治疗何时停止、感染是否控制、硅油是否取出、视力最终如何等核心问题。缺少良好视力结局并不使病例无价值，但缺少结局记录会削弱解读。</w:t>
      </w:r>
    </w:p>
    <w:p>
      <w:pPr>
        <w:ind w:left="397" w:hanging="397"/>
      </w:pPr>
      <w:r>
        <w:rPr>
          <w:rFonts w:ascii="Times New Roman" w:hAnsi="Times New Roman" w:eastAsia="宋体"/>
          <w:sz w:val="24"/>
        </w:rPr>
        <w:t>2. 感染途径证据不足。咳嗽、发热和含气囊肿不能证明肺曲霉菌病。相较于吴等，本例缺少足以支持肺部感染的动态影像或相关病原学；相较于梁等，亦缺少完整宿主风险及系统感染评估。宜写“推定内源性/临床考虑内源性，感染源未明”，而不是把机制作为既成事实。</w:t>
      </w:r>
    </w:p>
    <w:p>
      <w:pPr>
        <w:ind w:left="397" w:hanging="397"/>
      </w:pPr>
      <w:r>
        <w:rPr>
          <w:rFonts w:ascii="Times New Roman" w:hAnsi="Times New Roman" w:eastAsia="宋体"/>
          <w:sz w:val="24"/>
        </w:rPr>
        <w:t>3. 关键治疗不可复现。眼内注射剂量、体积、次数和系统疗程未知，尤其硅油填充后的实际给药记录缺失，使读者无法判断治疗经过。ALT升高后的监测与处理也未记录。其他病例的剂量不能用于补填。</w:t>
      </w:r>
    </w:p>
    <w:p>
      <w:pPr>
        <w:ind w:left="397" w:hanging="397"/>
      </w:pPr>
      <w:r>
        <w:rPr>
          <w:rFonts w:ascii="Times New Roman" w:hAnsi="Times New Roman" w:eastAsia="宋体"/>
          <w:sz w:val="24"/>
        </w:rPr>
        <w:t>4. 原图与病例叙述存在配对问题。现有主要后节图为12月6日术后第1天，不能支持11月24日初诊影像和12月24日进展比较；原稿另有OCT眼别矛盾及前节/后节图像混用风险。这类事实一致性问题比文句是否流畅更容易影响审稿判断。</w:t>
      </w:r>
    </w:p>
    <w:p>
      <w:pPr>
        <w:ind w:left="397" w:hanging="397"/>
      </w:pPr>
      <w:r>
        <w:rPr>
          <w:rFonts w:ascii="Times New Roman" w:hAnsi="Times New Roman" w:eastAsia="宋体"/>
          <w:sz w:val="24"/>
        </w:rPr>
        <w:t>5. 新颖性尚未聚焦。“误诊”“NGS”“联合伏立康唑和玻切”在所附病例中均已有先例，黄曲霉眼内炎也已有国内报告。应把有限篇幅集中于本例能证明的诊断线索，而不是重复一般性疾病介绍或堆砌稀有性。</w:t>
      </w:r>
    </w:p>
    <w:p>
      <w:pPr>
        <w:pStyle w:val="Heading2"/>
      </w:pPr>
      <w:r>
        <w:rPr>
          <w:rFonts w:ascii="Times New Roman" w:hAnsi="Times New Roman" w:eastAsia="宋体"/>
          <w:sz w:val="24"/>
        </w:rPr>
        <w:t>其他已发表文章的优点与可讨论局限</w:t>
      </w:r>
    </w:p>
    <w:p>
      <w:r>
        <w:rPr>
          <w:rFonts w:ascii="Times New Roman" w:hAnsi="Times New Roman" w:eastAsia="宋体"/>
          <w:sz w:val="24"/>
        </w:rPr>
        <w:t>梁等的优势是高危宿主和系统病情记录清楚、同种黄曲霉培养阳性、时间结局明确；局限是眼部多模态资料较少、没有肺眼匹配病原证据、危重系统病情与死亡存在多重混杂因素。引用时不能将该例死亡表述为黄曲霉眼内炎的一般死亡风险，也不能拿其结局直接证明本例某种治疗优越。该文部分眼内药物剂量记录存在不宜直接移用的风险，任何方案均应以本病例原始医嘱和独立药学证据核对。</w:t>
      </w:r>
    </w:p>
    <w:p>
      <w:r>
        <w:rPr>
          <w:rFonts w:ascii="Times New Roman" w:hAnsi="Times New Roman" w:eastAsia="宋体"/>
          <w:sz w:val="24"/>
        </w:rPr>
        <w:t>吴等是目前最适合本例借鉴的完整性参照：有眼外病灶评估、多模态动态影像、清楚治疗节点以及较长期结局。其局限同样要承认：肺泡灌洗液与眼内检出的病原不同，拒绝肺组织取材使肺源同种播散仍属有依据的推断，不能视为完全确证；文中“mNGS优于传统检测、不受抗生素影响”等宽泛陈述，亦不应未经原始研究支持直接沿用。本例可以在证据表述上更克制，但不能用他文的推断缺口替代自身感染源评估。</w:t>
      </w:r>
    </w:p>
    <w:p>
      <w:r>
        <w:rPr>
          <w:rFonts w:ascii="Times New Roman" w:hAnsi="Times New Roman" w:eastAsia="宋体"/>
          <w:sz w:val="24"/>
        </w:rPr>
        <w:t>周等的优势是有连贯的“临床怀疑—经验治疗—检测纠正—针对治疗—随访”过程，图像与处理节点对应，长期治疗和观察较清楚；局限是培养阴性而主要依赖mNGS属水平检出，仍缺少培养或其他独立方法的病原确证；外伤与后续多次手术均可能影响感染途径判断。它能支持临床表型不具病原特异性，不应被用来说明mNGS是所有眼内炎病原诊断的唯一金标准，更不能据其使用阿米卡星等药物为本例提供适应证。</w:t>
      </w:r>
    </w:p>
    <w:p>
      <w:pPr>
        <w:pStyle w:val="Heading2"/>
      </w:pPr>
      <w:r>
        <w:rPr>
          <w:rFonts w:ascii="Times New Roman" w:hAnsi="Times New Roman" w:eastAsia="宋体"/>
          <w:sz w:val="24"/>
        </w:rPr>
        <w:t>可融入稿件讨论的比较段落</w:t>
      </w:r>
    </w:p>
    <w:p>
      <w:pPr>
        <w:pStyle w:val="Heading2"/>
      </w:pPr>
      <w:r>
        <w:rPr>
          <w:rFonts w:ascii="Times New Roman" w:hAnsi="Times New Roman" w:eastAsia="宋体"/>
          <w:sz w:val="24"/>
        </w:rPr>
        <w:t>诊断表型与已有病例的关系</w:t>
      </w:r>
    </w:p>
    <w:p>
      <w:r>
        <w:rPr>
          <w:rFonts w:ascii="Times New Roman" w:hAnsi="Times New Roman" w:eastAsia="宋体"/>
          <w:sz w:val="24"/>
        </w:rPr>
        <w:t>既有曲霉性眼内炎报告已提示，前房或玻璃体炎症可被初步判断为非感染性葡萄膜炎。本例的不同之处在于初诊以前房相对清、黄斑区黄白色病灶、出血及血管造影异常为突出表现，临床首先考虑视网膜血管炎。与吴等报道的肺部病灶相关病例相比，本例更宜强调局限性后极部病灶伴血管炎样改变时的感染鉴别，而非再次强调“误诊并不少见”的一般性结论。上述差异仅代表本例与已比较病例之间的表型差异，尚不足以声称该表型为首次报道。</w:t>
      </w:r>
    </w:p>
    <w:p>
      <w:pPr>
        <w:pStyle w:val="Heading2"/>
      </w:pPr>
      <w:r>
        <w:rPr>
          <w:rFonts w:ascii="Times New Roman" w:hAnsi="Times New Roman" w:eastAsia="宋体"/>
          <w:sz w:val="24"/>
        </w:rPr>
        <w:t>病原证据的互补与边界</w:t>
      </w:r>
    </w:p>
    <w:p>
      <w:r>
        <w:rPr>
          <w:rFonts w:ascii="Times New Roman" w:hAnsi="Times New Roman" w:eastAsia="宋体"/>
          <w:sz w:val="24"/>
        </w:rPr>
        <w:t>梁等病例以眼内标本培养黄曲霉支持病原判断，吴等病例以玻璃体mNGS检出烟曲霉作为重要依据，周等诺卡菌病例则说明类似真菌的临床外观及短暂治疗反应可能误导病原归因。本例培养黄曲霉与靶向捕获NGS检出黄曲霉复合群相符，为病原判断提供了互补证据。然而，不同病例采用不同采样部位、检测平台及病原分类单位，不能根据序列数大小比较感染负荷或病原毒力。尤其本例的靶向捕获检测不应与非靶向mNGS混称；病原归因仍应建立在样本来源、培养鉴定及临床表现的一致性基础上。</w:t>
      </w:r>
    </w:p>
    <w:p>
      <w:pPr>
        <w:pStyle w:val="Heading2"/>
      </w:pPr>
      <w:r>
        <w:rPr>
          <w:rFonts w:ascii="Times New Roman" w:hAnsi="Times New Roman" w:eastAsia="宋体"/>
          <w:sz w:val="24"/>
        </w:rPr>
        <w:t>宿主背景及感染来源</w:t>
      </w:r>
    </w:p>
    <w:p>
      <w:r>
        <w:rPr>
          <w:rFonts w:ascii="Times New Roman" w:hAnsi="Times New Roman" w:eastAsia="宋体"/>
          <w:sz w:val="24"/>
        </w:rPr>
        <w:t>梁等患者存在肝衰竭和糖尿病，而吴等患者虽无已知典型全身危险病史，仍有肺部结构异常及感染影像。本例目前未记录典型发病前危险因素，但未完成的评估不能等同于阴性结果。前驱呼吸道症状及肺含气囊肿不足以确定肺曲霉病，亦不能证明肺眼播散。因此，本例宜保留“临床考虑内源性、感染源未明”的表述，并报告实际完成的系统评估及其局限，而不以“免疫功能正常的肺源性黄曲霉眼内炎”为结论。</w:t>
      </w:r>
    </w:p>
    <w:p>
      <w:pPr>
        <w:pStyle w:val="Heading2"/>
      </w:pPr>
      <w:r>
        <w:rPr>
          <w:rFonts w:ascii="Times New Roman" w:hAnsi="Times New Roman" w:eastAsia="宋体"/>
          <w:sz w:val="24"/>
        </w:rPr>
        <w:t>结构结局与治疗评价</w:t>
      </w:r>
    </w:p>
    <w:p>
      <w:r>
        <w:rPr>
          <w:rFonts w:ascii="Times New Roman" w:hAnsi="Times New Roman" w:eastAsia="宋体"/>
          <w:sz w:val="24"/>
        </w:rPr>
        <w:t>吴等病例在较长期随访中记录黄斑瘢痕、硅油取出及持续视力受损，提示病原控制与视功能恢复是不同结局；周等病例亦显示炎症稳定可与严重视力损害并存。本例末次记录仍有前房反应、黄斑异常和浅脱离，尚不能判断感染是否控制，更不能确定最终视力结局。完整报告后续炎症、视网膜结构和视功能的变化，比简单将联合治疗标为“有效”更能体现病例价值。不同宿主、病原和病变阶段间的结局差异不能归因于单一治疗选择。</w:t>
      </w:r>
    </w:p>
    <w:p>
      <w:pPr>
        <w:pStyle w:val="Heading2"/>
      </w:pPr>
      <w:r>
        <w:rPr>
          <w:rFonts w:ascii="Times New Roman" w:hAnsi="Times New Roman" w:eastAsia="宋体"/>
          <w:sz w:val="24"/>
        </w:rPr>
        <w:t>最应优先补齐的五项资料</w:t>
      </w:r>
    </w:p>
    <w:p>
      <w:pPr>
        <w:ind w:left="397" w:hanging="397"/>
      </w:pPr>
      <w:r>
        <w:rPr>
          <w:rFonts w:ascii="Times New Roman" w:hAnsi="Times New Roman" w:eastAsia="宋体"/>
          <w:sz w:val="24"/>
        </w:rPr>
        <w:t>1. 至少一次可信的最近随访：日期、视力测量方式及距离、眼压、前房/玻璃体炎症、视网膜状态、眼底和黄斑OCT、是否复发、硅油是否取出。若确无随访，如实报告。</w:t>
      </w:r>
    </w:p>
    <w:p>
      <w:pPr>
        <w:ind w:left="397" w:hanging="397"/>
      </w:pPr>
      <w:r>
        <w:rPr>
          <w:rFonts w:ascii="Times New Roman" w:hAnsi="Times New Roman" w:eastAsia="宋体"/>
          <w:sz w:val="24"/>
        </w:rPr>
        <w:t>2. 原始医嘱：所有眼内伏立康唑剂量、体积及日期，口服起止/调整，监测及ALT升高后的处理。由实际给药记录补充，不依靠回忆或他例常用方案推填。</w:t>
      </w:r>
    </w:p>
    <w:p>
      <w:pPr>
        <w:ind w:left="397" w:hanging="397"/>
      </w:pPr>
      <w:r>
        <w:rPr>
          <w:rFonts w:ascii="Times New Roman" w:hAnsi="Times New Roman" w:eastAsia="宋体"/>
          <w:sz w:val="24"/>
        </w:rPr>
        <w:t>3. 两份病原样本的手术—实验室对应：培养“组织”、tNGS“抽吸液”各来自何处，是否同次手术、采样前用药、鉴定方法、可获得的药敏与质控；外院房水“阴性”的真实检测项目。</w:t>
      </w:r>
    </w:p>
    <w:p>
      <w:pPr>
        <w:ind w:left="397" w:hanging="397"/>
      </w:pPr>
      <w:r>
        <w:rPr>
          <w:rFonts w:ascii="Times New Roman" w:hAnsi="Times New Roman" w:eastAsia="宋体"/>
          <w:sz w:val="24"/>
        </w:rPr>
        <w:t>4. 初诊及复诊原图：核实11月24日FFA/OCT与12月24日OCT眼别；去除身份信息后，按真实日期组成同一眼的影像序列。缺图就不进行图像动态推断。</w:t>
      </w:r>
    </w:p>
    <w:p>
      <w:pPr>
        <w:ind w:left="397" w:hanging="397"/>
      </w:pPr>
      <w:r>
        <w:rPr>
          <w:rFonts w:ascii="Times New Roman" w:hAnsi="Times New Roman" w:eastAsia="宋体"/>
          <w:sz w:val="24"/>
        </w:rPr>
        <w:t>5. 已完成的系统风险及感染源评估：按病历补充相关血培养、真菌标志物、糖代谢/免疫状态及临床会诊结果；未查者不补造。然后再确定“内源性”“既往无已知基础病”等措辞边界。</w:t>
      </w:r>
    </w:p>
    <w:p>
      <w:pPr>
        <w:pStyle w:val="Heading2"/>
      </w:pPr>
      <w:r>
        <w:rPr>
          <w:rFonts w:ascii="Times New Roman" w:hAnsi="Times New Roman" w:eastAsia="宋体"/>
          <w:sz w:val="24"/>
        </w:rPr>
        <w:t>建议重排的文章逻辑</w:t>
      </w:r>
    </w:p>
    <w:p>
      <w:r>
        <w:rPr>
          <w:rFonts w:ascii="Times New Roman" w:hAnsi="Times New Roman" w:eastAsia="宋体"/>
          <w:sz w:val="24"/>
        </w:rPr>
        <w:t>引言只回答为什么这个诊断问题值得报告；病例按“初诊线索—初次判断和处理—进展及取样决策—病原结果—针对治疗—客观随访”六个节点组织；讨论依次回答“为什么像血管炎、哪些线索提示感染”“病原证据强在哪里、又有什么局限”“内源性及宿主背景能说到哪一步”“治疗与结局如何与已有病例对照”“本例仍不能回答什么”。避免用大量一般知识或药理介绍稀释病例主线。</w:t>
      </w:r>
    </w:p>
    <w:p>
      <w:pPr>
        <w:pStyle w:val="Heading2"/>
      </w:pPr>
      <w:r>
        <w:rPr>
          <w:rFonts w:ascii="Times New Roman" w:hAnsi="Times New Roman" w:eastAsia="宋体"/>
          <w:sz w:val="24"/>
        </w:rPr>
        <w:t>引用来源</w:t>
      </w:r>
    </w:p>
    <w:p>
      <w:pPr>
        <w:ind w:left="397" w:hanging="397"/>
      </w:pPr>
      <w:r>
        <w:rPr>
          <w:rFonts w:ascii="Times New Roman" w:hAnsi="Times New Roman" w:eastAsia="宋体"/>
          <w:sz w:val="24"/>
        </w:rPr>
        <w:t>1. 梁佳圆, 杨丽霞, 王亮, 等. 肝衰竭合并黄曲霉眼内炎1例. 中华传染病杂志. 2022;40(2):106–107. doi:10.3760/cma.j.cn311365-20210508-00165。比较据PDF第1–2页病例与讨论。</w:t>
      </w:r>
    </w:p>
    <w:p>
      <w:pPr>
        <w:ind w:left="397" w:hanging="397"/>
      </w:pPr>
      <w:r>
        <w:rPr>
          <w:rFonts w:ascii="Times New Roman" w:hAnsi="Times New Roman" w:eastAsia="宋体"/>
          <w:sz w:val="24"/>
        </w:rPr>
        <w:t>2. 吴金梅, 朱俊, 陈放, 等. 肺曲霉菌病合并内源性真菌性眼内炎1例. 中华眼视光学与视觉科学杂志（中英文）. 2025;27(11):873–876. doi:10.3760/cma.j.cn115909-20250328-00106。比较据PDF第1页病例、第2–3页图文及第3页讨论。</w:t>
      </w:r>
    </w:p>
    <w:p>
      <w:pPr>
        <w:ind w:left="397" w:hanging="397"/>
      </w:pPr>
      <w:r>
        <w:rPr>
          <w:rFonts w:ascii="Times New Roman" w:hAnsi="Times New Roman" w:eastAsia="宋体"/>
          <w:sz w:val="24"/>
        </w:rPr>
        <w:t>3. 周云云, 王睿, 马为梅. 误诊为真菌性眼内炎的诺卡菌眼内炎1例. 中国临床案例成果数据库. 2025;7. doi:10.3760/cma.j.cmcr20250703-02667。比较据PDF第3–7页病例、处理、结果及第8–9页讨论。</w:t>
      </w:r>
    </w:p>
    <w:p>
      <w:r>
        <w:rPr>
          <w:rFonts w:ascii="Times New Roman" w:hAnsi="Times New Roman" w:eastAsia="宋体"/>
          <w:sz w:val="24"/>
        </w:rPr>
        <w:t>2025年国际共识为解释诊断和治疗的一般背景，不是本表中的第四个治疗比较病例。若后续PubMed检索取得更多黄曲霉病例或病例系列，应按相同字段补入，并将病例系列、回顾性研究、综述和专家共识分别解释，不混为同级证据。</w:t>
      </w:r>
    </w:p>
    <w:sectPr w:rsidR="00FC693F" w:rsidRPr="0006063C" w:rsidSect="00034616">
      <w:headerReference w:type="default" r:id="rId9"/>
      <w:footerReference w:type="default" r:id="rId10"/>
      <w:pgSz w:w="11906" w:h="16838"/>
      <w:pgMar w:top="1417" w:right="1417" w:bottom="1417" w:left="141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宋体"/>
        <w:color w:val="777777"/>
        <w:sz w:val="16"/>
      </w:rPr>
      <w:t>备选投稿工作稿｜红色及方括号内容请核实后删除或替换</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Times New Roman" w:hAnsi="Times New Roman" w:eastAsia="黑体"/>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病例对比与第二轮修改策略</dc:title>
  <dc:subject>Case report submission working draft</dc:subject>
  <dc:creator>Manuscript preparation materials</dc:creator>
  <cp:keywords>endophthalmitis; case report; alternative submission draft</cp:keywords>
  <dc:description>Clinical details and unresolved author queries require final author verification.</dc:description>
  <cp:lastModifiedBy/>
  <cp:revision>1</cp:revision>
  <dcterms:created xsi:type="dcterms:W3CDTF">2013-12-23T23:15:00Z</dcterms:created>
  <dcterms:modified xsi:type="dcterms:W3CDTF">2013-12-23T23:15:00Z</dcterms:modified>
  <cp:category/>
</cp:coreProperties>
</file>