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sz w:val="32"/>
        </w:rPr>
        <w:t>初诊为视网膜血管炎的黄曲霉性眼内炎一例</w:t>
      </w:r>
    </w:p>
    <w:p>
      <w:r>
        <w:rPr>
          <w:rFonts w:ascii="Times New Roman" w:hAnsi="Times New Roman" w:eastAsia="宋体"/>
          <w:sz w:val="24"/>
        </w:rPr>
        <w:t>聂圣琼¹　占宇姝²　靳鹍¹</w:t>
      </w:r>
    </w:p>
    <w:p>
      <w:r>
        <w:rPr>
          <w:rFonts w:ascii="Times New Roman" w:hAnsi="Times New Roman" w:eastAsia="宋体"/>
          <w:sz w:val="24"/>
        </w:rPr>
        <w:t>¹ 宜昌市中心人民医院，</w:t>
      </w:r>
      <w:r>
        <w:rPr>
          <w:rFonts w:ascii="Times New Roman" w:hAnsi="Times New Roman" w:eastAsia="宋体"/>
          <w:color w:val="B22222"/>
          <w:sz w:val="24"/>
        </w:rPr>
        <w:t>[科室、城市及邮政编码待补]</w:t>
      </w:r>
    </w:p>
    <w:p>
      <w:r>
        <w:rPr>
          <w:rFonts w:ascii="Times New Roman" w:hAnsi="Times New Roman" w:eastAsia="宋体"/>
          <w:sz w:val="24"/>
        </w:rPr>
        <w:t>² 三峡职业技术学院附属医院，</w:t>
      </w:r>
      <w:r>
        <w:rPr>
          <w:rFonts w:ascii="Times New Roman" w:hAnsi="Times New Roman" w:eastAsia="宋体"/>
          <w:color w:val="B22222"/>
          <w:sz w:val="24"/>
        </w:rPr>
        <w:t>[科室、城市及邮政编码待补]</w:t>
      </w:r>
    </w:p>
    <w:p>
      <w:r>
        <w:rPr>
          <w:rFonts w:ascii="Times New Roman" w:hAnsi="Times New Roman" w:eastAsia="宋体"/>
          <w:sz w:val="24"/>
        </w:rPr>
        <w:t>第一作者：聂圣琼，Email：</w:t>
      </w:r>
      <w:r>
        <w:rPr>
          <w:rFonts w:ascii="Times New Roman" w:hAnsi="Times New Roman" w:eastAsia="宋体"/>
          <w:color w:val="B22222"/>
          <w:sz w:val="24"/>
        </w:rPr>
        <w:t>[待补]</w:t>
      </w:r>
    </w:p>
    <w:p>
      <w:r>
        <w:rPr>
          <w:rFonts w:ascii="Times New Roman" w:hAnsi="Times New Roman" w:eastAsia="宋体"/>
          <w:sz w:val="24"/>
        </w:rPr>
        <w:t>通信作者：靳鹍，Email：</w:t>
      </w:r>
      <w:r>
        <w:rPr>
          <w:rFonts w:ascii="Times New Roman" w:hAnsi="Times New Roman" w:eastAsia="宋体"/>
          <w:color w:val="B22222"/>
          <w:sz w:val="24"/>
        </w:rPr>
        <w:t>[待补]</w:t>
      </w:r>
    </w:p>
    <w:p>
      <w:r>
        <w:rPr>
          <w:rFonts w:ascii="Times New Roman" w:hAnsi="Times New Roman" w:eastAsia="宋体"/>
          <w:sz w:val="24"/>
        </w:rPr>
        <w:t>文章类型：病例报告。拟投：《中华眼视光学与视觉科学杂志（中英文）》。本稿参照用户提供的该刊2025年病例报告实刊样式编排；现行稿约未完成官网核验。本轮按已读原文深化讨论与病例对比；因NCBI访问受限，PubMed扩展检索尚未完成，待检索文献不列入已读参考文献。方括号内容为投稿前须解决的作者核实项，不属于正式发表内容。</w:t>
      </w:r>
    </w:p>
    <w:p>
      <w:r>
        <w:br w:type="page"/>
      </w:r>
    </w:p>
    <w:p>
      <w:pPr>
        <w:pStyle w:val="Heading2"/>
      </w:pPr>
      <w:r>
        <w:rPr>
          <w:rFonts w:ascii="Times New Roman" w:hAnsi="Times New Roman" w:eastAsia="宋体"/>
          <w:sz w:val="24"/>
        </w:rPr>
        <w:t>病例资料</w:t>
      </w:r>
    </w:p>
    <w:p>
      <w:pPr>
        <w:pStyle w:val="Heading2"/>
      </w:pPr>
      <w:r>
        <w:rPr>
          <w:rFonts w:ascii="Times New Roman" w:hAnsi="Times New Roman" w:eastAsia="宋体"/>
          <w:sz w:val="24"/>
        </w:rPr>
        <w:t>初诊评估与经验治疗</w:t>
      </w:r>
    </w:p>
    <w:p>
      <w:r>
        <w:rPr>
          <w:rFonts w:ascii="Times New Roman" w:hAnsi="Times New Roman" w:eastAsia="宋体"/>
          <w:sz w:val="24"/>
        </w:rPr>
        <w:t>患者，男，38岁，因“左眼突发视力下降伴疼痛2 d”于2025年11月24日就诊。就诊前5 d出现咳嗽、发热及乏力，在当地诊所接受抗细菌及退热等治疗后，咳嗽、发热好转。患者否认已知全身基础疾病、长期用药、眼外伤及眼部手术史。初诊视力：右眼1.0，左眼眼前指数；眼压：右眼16 mmHg，左眼17.5 mmHg。右眼眼底未见明显异常。左眼结膜充血、水肿，以颞侧为著；角膜透明，前房清；眼底黄斑区可见黄白色病灶，伴多处视网膜下出血及视网膜水肿。</w:t>
      </w:r>
    </w:p>
    <w:p>
      <w:r>
        <w:rPr>
          <w:rFonts w:ascii="Times New Roman" w:hAnsi="Times New Roman" w:eastAsia="宋体"/>
          <w:sz w:val="24"/>
        </w:rPr>
        <w:t>初诊病历记载，眼部B超提示玻璃体混浊，以左眼炎性改变为著，伴左眼颞侧球壁增厚、视网膜下积液；荧光素眼底血管造影显示左眼早期血管壁着染，后极部及颞侧片状低荧光遮蔽，晚期明显荧光渗漏；黄斑光学相干断层扫描（optical coherence tomography，OCT）提示左眼视网膜脱离累及黄斑，伴内层视网膜水肿。胸部CT提示右下肺含气囊肿，另见肝囊肿，未据此明确眼外真菌感染灶。丙氨酸氨基转移酶（alanine aminotransferase，ALT）为53 U/L。</w:t>
      </w:r>
      <w:r>
        <w:rPr>
          <w:rFonts w:ascii="Times New Roman" w:hAnsi="Times New Roman" w:eastAsia="宋体"/>
          <w:color w:val="B22222"/>
          <w:sz w:val="24"/>
        </w:rPr>
        <w:t>[Q1：请提供11月24日原始影像与检验报告，核实上述记录；稿内现有多张检查图实际日期为12月6日，不能标作初诊图。]</w:t>
      </w:r>
    </w:p>
    <w:p>
      <w:r>
        <w:rPr>
          <w:rFonts w:ascii="Times New Roman" w:hAnsi="Times New Roman" w:eastAsia="宋体"/>
          <w:sz w:val="24"/>
        </w:rPr>
        <w:t>初步诊断为左眼视网膜血管炎。入院次日出现左眼前房闪辉及前房细胞，予静脉更昔洛韦、局部更昔洛韦及妥布霉素地塞米松治疗，并行左眼球旁曲安奈德注射。其后前房反应、玻璃体混浊及结膜水肿一度减轻。建议行眼内液病原学检查，患者及家属当时未接受。11月27日，左眼前房反应及玻璃体混浊再次加重，遂转诊。外院曾行房水送检，记录结果为阴性，但检测项目、方法及采样日期未详；接受左眼玻璃体腔更昔洛韦注射后，病情继续进展。</w:t>
      </w:r>
      <w:r>
        <w:rPr>
          <w:rFonts w:ascii="Times New Roman" w:hAnsi="Times New Roman" w:eastAsia="宋体"/>
          <w:color w:val="B22222"/>
          <w:sz w:val="24"/>
        </w:rPr>
        <w:t>[Q2：核对静脉及眼内更昔洛韦、球旁曲安奈德的剂量、日期，以及房水送检项目。不得用文献常用剂量代替实际医嘱。]</w:t>
      </w:r>
    </w:p>
    <w:p>
      <w:pPr>
        <w:pStyle w:val="Heading2"/>
      </w:pPr>
      <w:r>
        <w:rPr>
          <w:rFonts w:ascii="Times New Roman" w:hAnsi="Times New Roman" w:eastAsia="宋体"/>
          <w:sz w:val="24"/>
        </w:rPr>
        <w:t>转诊、眼内取样及病原学诊断</w:t>
      </w:r>
    </w:p>
    <w:p>
      <w:r>
        <w:rPr>
          <w:rFonts w:ascii="Times New Roman" w:hAnsi="Times New Roman" w:eastAsia="宋体"/>
          <w:sz w:val="24"/>
        </w:rPr>
        <w:t>患者随后就诊于另一上级医院。此时右眼视力1.2、眼压22 mmHg，左眼视力0.02、眼压15 mmHg。左眼角膜后可见大量沉着物，前房闪辉阳性，晶状体混浊，玻璃体明显混浊；后极部黄斑旁可见灰白色较大病灶，周围伴多个灰白色卫星病灶。考虑左眼眼内炎及并发性白内障。2025年12月5日行左眼经睫状体平坦部玻璃体切除联合硅油填充术，并留取术中标本送检。</w:t>
      </w:r>
    </w:p>
    <w:p>
      <w:r>
        <w:rPr>
          <w:rFonts w:ascii="Times New Roman" w:hAnsi="Times New Roman" w:eastAsia="宋体"/>
          <w:sz w:val="24"/>
        </w:rPr>
        <w:t>术后第1天（12月6日）的左眼眼底及黄斑OCT资料拟见图1、2。</w:t>
      </w:r>
      <w:r>
        <w:rPr>
          <w:rFonts w:ascii="Times New Roman" w:hAnsi="Times New Roman" w:eastAsia="宋体"/>
          <w:color w:val="B22222"/>
          <w:sz w:val="24"/>
        </w:rPr>
        <w:t>[Q4：图位尚未插入；须提供去除姓名、编号等信息的原始影像，并由临床作者确认日期、眼别和图注。]</w:t>
      </w:r>
    </w:p>
    <w:p>
      <w:r>
        <w:rPr>
          <w:rFonts w:ascii="Times New Roman" w:hAnsi="Times New Roman" w:eastAsia="宋体"/>
          <w:sz w:val="24"/>
        </w:rPr>
        <w:t>12月8日，培养报告检出黄曲霉；病原体靶向捕获下一代测序（targeted capture-based next-generation sequencing，tNGS）检出黄曲霉复合群，报告序列数8 361，相对丰度85.1%。按该报告定义，此相对丰度指相应病原体大类中序列数的比例，本例为真菌类别内的比例。</w:t>
      </w:r>
      <w:r>
        <w:rPr>
          <w:rFonts w:ascii="Times New Roman" w:hAnsi="Times New Roman" w:eastAsia="宋体"/>
          <w:color w:val="B22222"/>
          <w:sz w:val="24"/>
        </w:rPr>
        <w:t>[Q3：培养报告标本类别为“组织”，tNGS报告为“抽吸液”，与原文“玻璃体液”不一致；请核实两份标本的实际解剖来源及是否同一次取样，并补充菌种鉴定方法、药敏和测序质控等可获得资料。]</w:t>
      </w:r>
    </w:p>
    <w:p>
      <w:pPr>
        <w:pStyle w:val="Heading2"/>
      </w:pPr>
      <w:r>
        <w:rPr>
          <w:rFonts w:ascii="Times New Roman" w:hAnsi="Times New Roman" w:eastAsia="宋体"/>
          <w:sz w:val="24"/>
        </w:rPr>
        <w:t>抗真菌治疗及短期结局</w:t>
      </w:r>
    </w:p>
    <w:p>
      <w:r>
        <w:rPr>
          <w:rFonts w:ascii="Times New Roman" w:hAnsi="Times New Roman" w:eastAsia="宋体"/>
          <w:sz w:val="24"/>
        </w:rPr>
        <w:t>结合病程及病原学结果，临床诊断为左眼黄曲霉性眼内炎；因发病前无眼外伤或眼部手术史，感染途径倾向内源性，但现有资料尚未明确眼外原发灶。给予伏立康唑口服，每次200 mg，每日2次，并于12月9日行左眼玻璃体腔伏立康唑注射。</w:t>
      </w:r>
    </w:p>
    <w:p>
      <w:r>
        <w:rPr>
          <w:rFonts w:ascii="Times New Roman" w:hAnsi="Times New Roman" w:eastAsia="宋体"/>
          <w:sz w:val="24"/>
        </w:rPr>
        <w:t>12月24日再次就诊，右眼视力1.2、眼压12 mmHg；左眼眼前指数、眼压9.5 mmHg。左眼结膜充血，前房闪辉（++），玻璃体腔硅油填充；眼底黄斑区视网膜发白、水肿，伴明显出血，下方可见黄白色病灶及视网膜浅脱离。ALT为106 U/L；腹部超声提示轻度脂肪肝及肝囊肿，胸部CT较前大致相仿。当日再次行左眼玻璃体腔伏立康唑注射后出院。</w:t>
      </w:r>
      <w:r>
        <w:rPr>
          <w:rFonts w:ascii="Times New Roman" w:hAnsi="Times New Roman" w:eastAsia="宋体"/>
          <w:color w:val="B22222"/>
          <w:sz w:val="24"/>
        </w:rPr>
        <w:t>[Q5：补充两次及其他可能存在的眼内伏立康唑实际剂量、体积、次数、间隔，口服起止日期、肝功能监测及处理。原稿此日OCT写为“右眼”，与左眼病程不一致，核实前不用于判断左眼黄斑进展。]</w:t>
      </w:r>
    </w:p>
    <w:p>
      <w:r>
        <w:rPr>
          <w:rFonts w:ascii="Times New Roman" w:hAnsi="Times New Roman" w:eastAsia="宋体"/>
          <w:sz w:val="24"/>
        </w:rPr>
        <w:t>现有材料的末次临床记录为2025年12月24日，左眼仍存在前房反应、严重视力损害及视网膜病变，不能据此认定感染已经治愈。</w:t>
      </w:r>
      <w:r>
        <w:rPr>
          <w:rFonts w:ascii="Times New Roman" w:hAnsi="Times New Roman" w:eastAsia="宋体"/>
          <w:color w:val="B22222"/>
          <w:sz w:val="24"/>
        </w:rPr>
        <w:t>[Q6：请补充最近一次随访日期、双眼视力、眼压、炎症及视网膜状态、全身与眼内抗真菌疗程、复发或再次手术情况；如确无后续资料，应如实说明。]</w:t>
      </w:r>
    </w:p>
    <w:p>
      <w:pPr>
        <w:pStyle w:val="Heading2"/>
      </w:pPr>
      <w:r>
        <w:rPr>
          <w:rFonts w:ascii="Times New Roman" w:hAnsi="Times New Roman" w:eastAsia="宋体"/>
          <w:sz w:val="24"/>
        </w:rPr>
        <w:t>讨论</w:t>
      </w:r>
    </w:p>
    <w:p>
      <w:pPr>
        <w:pStyle w:val="Heading2"/>
      </w:pPr>
      <w:r>
        <w:rPr>
          <w:rFonts w:ascii="Times New Roman" w:hAnsi="Times New Roman" w:eastAsia="宋体"/>
          <w:sz w:val="24"/>
        </w:rPr>
        <w:t>后段主导的表型与诊断再评估</w:t>
      </w:r>
    </w:p>
    <w:p>
      <w:r>
        <w:rPr>
          <w:rFonts w:ascii="Times New Roman" w:hAnsi="Times New Roman" w:eastAsia="宋体"/>
          <w:sz w:val="24"/>
        </w:rPr>
        <w:t>本例值得讨论的并非黄曲霉眼内炎这一病原诊断本身，而是后极部病灶与血管炎样改变先于显著前节炎症出现的诊断过程。初诊已有黄斑区黄白色病灶、视网膜下出血及水肿，造影显示血管壁着染和晚期渗漏，而前房相对清。2025年国际共识指出，真菌性眼内炎的后节体征可能比前节体征更突出，乳白色脉络膜视网膜病灶及进行性玻璃体炎具有提示意义；曲霉也可侵犯视网膜和脉络膜血管壁</w:t>
      </w:r>
      <w:r>
        <w:rPr>
          <w:rFonts w:ascii="Times New Roman" w:hAnsi="Times New Roman" w:eastAsia="宋体"/>
          <w:sz w:val="24"/>
        </w:rPr>
        <w:t>[1]</w:t>
      </w:r>
      <w:r>
        <w:rPr>
          <w:rFonts w:ascii="Times New Roman" w:hAnsi="Times New Roman" w:eastAsia="宋体"/>
          <w:sz w:val="24"/>
        </w:rPr>
        <w:t>。因此，本例表现与真菌感染的已知病理过程相容，但没有组织病理证据证明本患者确实存在血管壁真菌侵袭。造影渗漏反映血管屏障损伤，不能单独区分病毒、真菌或非感染性病因。病例的教育意义在于：遇到血管炎样造影表现时，仍应回到病灶形态、出血分布和病程变化判断感染可能，而不只围绕“血管炎”这一描述性诊断选择治疗。</w:t>
      </w:r>
    </w:p>
    <w:p>
      <w:r>
        <w:rPr>
          <w:rFonts w:ascii="Times New Roman" w:hAnsi="Times New Roman" w:eastAsia="宋体"/>
          <w:sz w:val="24"/>
        </w:rPr>
        <w:t>本例在抗病毒及局部、球旁糖皮质激素治疗后一度炎症减轻，随后出现明显玻璃体混浊、大病灶及卫星病灶，构成需要重评原有诊断的转折点。周等</w:t>
      </w:r>
      <w:r>
        <w:rPr>
          <w:rFonts w:ascii="Times New Roman" w:hAnsi="Times New Roman" w:eastAsia="宋体"/>
          <w:sz w:val="24"/>
        </w:rPr>
        <w:t>[2]</w:t>
      </w:r>
      <w:r>
        <w:rPr>
          <w:rFonts w:ascii="Times New Roman" w:hAnsi="Times New Roman" w:eastAsia="宋体"/>
          <w:sz w:val="24"/>
        </w:rPr>
        <w:t>报道的诺卡菌眼内炎曾因白色、团块或绒毛样渗出而被考虑为真菌感染，说明临床外观和短暂治疗反应均不是病原特异性证据。对本例而言，关键问题不是事后将初诊简单归为“误诊”，而是明确哪些进展信号促使医生从经验治疗转向眼内取样。按现有日期，首次就诊至手术取样间隔11 d，至病原报告间隔14 d；这些节点应在时间线中透明呈现，但不能据单病例认定某一取样时点必然改变最终视力，也不能将其等同于某项研究对“延迟治疗”的操作定义。</w:t>
      </w:r>
    </w:p>
    <w:p>
      <w:pPr>
        <w:pStyle w:val="Heading2"/>
      </w:pPr>
      <w:r>
        <w:rPr>
          <w:rFonts w:ascii="Times New Roman" w:hAnsi="Times New Roman" w:eastAsia="宋体"/>
          <w:sz w:val="24"/>
        </w:rPr>
        <w:t>宿主背景及感染途径应与证据强度相匹配</w:t>
      </w:r>
    </w:p>
    <w:p>
      <w:r>
        <w:rPr>
          <w:rFonts w:ascii="Times New Roman" w:hAnsi="Times New Roman" w:eastAsia="宋体"/>
          <w:sz w:val="24"/>
        </w:rPr>
        <w:t>已有国内报告足以说明本例不能以“首次黄曲霉眼内炎”作为创新点。梁等</w:t>
      </w:r>
      <w:r>
        <w:rPr>
          <w:rFonts w:ascii="Times New Roman" w:hAnsi="Times New Roman" w:eastAsia="宋体"/>
          <w:sz w:val="24"/>
        </w:rPr>
        <w:t>[3]</w:t>
      </w:r>
      <w:r>
        <w:rPr>
          <w:rFonts w:ascii="Times New Roman" w:hAnsi="Times New Roman" w:eastAsia="宋体"/>
          <w:sz w:val="24"/>
        </w:rPr>
        <w:t>的黄曲霉病例发生于肝衰竭、糖尿病及严重系统病情背景；吴等</w:t>
      </w:r>
      <w:r>
        <w:rPr>
          <w:rFonts w:ascii="Times New Roman" w:hAnsi="Times New Roman" w:eastAsia="宋体"/>
          <w:sz w:val="24"/>
        </w:rPr>
        <w:t>[4]</w:t>
      </w:r>
      <w:r>
        <w:rPr>
          <w:rFonts w:ascii="Times New Roman" w:hAnsi="Times New Roman" w:eastAsia="宋体"/>
          <w:sz w:val="24"/>
        </w:rPr>
        <w:t>报道的烟曲霉相关病例则有肺部实变、囊腔及肺隔离症影像，并接受多学科评估。本例尚未记录上述明显宿主背景，这可提醒临床在缺少典型危险因素时仍保留感染诊断，但“无已知基础疾病”不等于经评估证实免疫功能正常。应以实际病历补充糖代谢、免疫状态及相关全身评估，未做的检查应如实说明，不能通过叙述将信息缺失变成阴性结果。</w:t>
      </w:r>
    </w:p>
    <w:p>
      <w:r>
        <w:rPr>
          <w:rFonts w:ascii="Times New Roman" w:hAnsi="Times New Roman" w:eastAsia="宋体"/>
          <w:sz w:val="24"/>
        </w:rPr>
        <w:t>发病前无眼外伤或眼部手术史，使内源性途径具有临床合理性，但不足以单独确证血源播散。前驱咳嗽、发热及右下肺含气囊肿，也不能替代肺曲霉菌病的诊断证据。与本例相比，吴等</w:t>
      </w:r>
      <w:r>
        <w:rPr>
          <w:rFonts w:ascii="Times New Roman" w:hAnsi="Times New Roman" w:eastAsia="宋体"/>
          <w:sz w:val="24"/>
        </w:rPr>
        <w:t>[4]</w:t>
      </w:r>
      <w:r>
        <w:rPr>
          <w:rFonts w:ascii="Times New Roman" w:hAnsi="Times New Roman" w:eastAsia="宋体"/>
          <w:sz w:val="24"/>
        </w:rPr>
        <w:t>的眼外病灶评估更充分，但其眼内检出烟曲霉、肺泡灌洗液检出其他病原，且未获得肺组织，肺眼同种病原传播链亦非直接证实。因此，引用该文时既应借鉴其系统评估路径，也应保留原发灶归因的限度。本例宜表述为“临床考虑内源性，眼外感染源未明”。此外，病原学取样发生于外院眼内治疗之后；缺乏发病早期、眼内操作前的病原学资料，也限制了对最初病原和传播途径的回溯判断。</w:t>
      </w:r>
    </w:p>
    <w:p>
      <w:pPr>
        <w:pStyle w:val="Heading2"/>
      </w:pPr>
      <w:r>
        <w:rPr>
          <w:rFonts w:ascii="Times New Roman" w:hAnsi="Times New Roman" w:eastAsia="宋体"/>
          <w:sz w:val="24"/>
        </w:rPr>
        <w:t>培养与靶向测序的价值在于互补，而非替代</w:t>
      </w:r>
    </w:p>
    <w:p>
      <w:r>
        <w:rPr>
          <w:rFonts w:ascii="Times New Roman" w:hAnsi="Times New Roman" w:eastAsia="宋体"/>
          <w:sz w:val="24"/>
        </w:rPr>
        <w:t>本例培养检出黄曲霉，靶向捕获NGS检出黄曲霉复合群，两种不同检测原理所得结果在相应分类层级上相符。与梁等</w:t>
      </w:r>
      <w:r>
        <w:rPr>
          <w:rFonts w:ascii="Times New Roman" w:hAnsi="Times New Roman" w:eastAsia="宋体"/>
          <w:sz w:val="24"/>
        </w:rPr>
        <w:t>[3]</w:t>
      </w:r>
      <w:r>
        <w:rPr>
          <w:rFonts w:ascii="Times New Roman" w:hAnsi="Times New Roman" w:eastAsia="宋体"/>
          <w:sz w:val="24"/>
        </w:rPr>
        <w:t>主要依据眼内培养、吴等</w:t>
      </w:r>
      <w:r>
        <w:rPr>
          <w:rFonts w:ascii="Times New Roman" w:hAnsi="Times New Roman" w:eastAsia="宋体"/>
          <w:sz w:val="24"/>
        </w:rPr>
        <w:t>[4]</w:t>
      </w:r>
      <w:r>
        <w:rPr>
          <w:rFonts w:ascii="Times New Roman" w:hAnsi="Times New Roman" w:eastAsia="宋体"/>
          <w:sz w:val="24"/>
        </w:rPr>
        <w:t>主要依据玻璃体mNGS检出烟曲霉的证据形式相比，本例可以更具体地展示培养与分子检测的一致性如何支持病原归因。但这一优势须建立在样本对应关系清楚的基础上：培养单标注“组织”，测序单标注“抽吸液”，不能未经手术和检验登记核实就写成“同一玻璃体标本的双重确证”。两种方法相符也不能替代培养鉴定、阴性对照、测序质控和临床背景的综合解释。国际共识支持镜检、培养及分子技术互为补充，特别是在常规病原学未明确时发挥分子检测的价值</w:t>
      </w:r>
      <w:r>
        <w:rPr>
          <w:rFonts w:ascii="Times New Roman" w:hAnsi="Times New Roman" w:eastAsia="宋体"/>
          <w:sz w:val="24"/>
        </w:rPr>
        <w:t>[1]</w:t>
      </w:r>
      <w:r>
        <w:rPr>
          <w:rFonts w:ascii="Times New Roman" w:hAnsi="Times New Roman" w:eastAsia="宋体"/>
          <w:sz w:val="24"/>
        </w:rPr>
        <w:t>；本例不是比较诊断准确度的研究，不能据此宣称tNGS优于培养。</w:t>
      </w:r>
    </w:p>
    <w:p>
      <w:r>
        <w:rPr>
          <w:rFonts w:ascii="Times New Roman" w:hAnsi="Times New Roman" w:eastAsia="宋体"/>
          <w:sz w:val="24"/>
        </w:rPr>
        <w:t>检测术语和数值解释同样影响结论可信度。本例为靶向捕获检测，不应与无偏mNGS、靶基因扩增测序或纳米孔靶向测序混称。报告中的8 361为序列数，85.1%为真菌类别内相对丰度，并非感染概率、活菌量或标本中全部微生物的比例，也不是已验证的疗效监测指标。“黄曲霉复合群”提示相应分类单元的检出，不能据此认为已完成复合群内隐蔽种分辨。外院房水阴性结果则因检测项目、方法、采样量、采样时间及用药时序不明而难以解释；与后来不同部位或不同方法的阳性结果不能简单比较，更不能将前者写成“排除真菌后仍发生真菌感染”。这种对阴性及阳性结果的分层解释，比罗列某一种新技术的优点更能体现本例的诊断价值。</w:t>
      </w:r>
    </w:p>
    <w:p>
      <w:pPr>
        <w:pStyle w:val="Heading2"/>
      </w:pPr>
      <w:r>
        <w:rPr>
          <w:rFonts w:ascii="Times New Roman" w:hAnsi="Times New Roman" w:eastAsia="宋体"/>
          <w:sz w:val="24"/>
        </w:rPr>
        <w:t>治疗选择、用药安全与结局需要分别评价</w:t>
      </w:r>
    </w:p>
    <w:p>
      <w:r>
        <w:rPr>
          <w:rFonts w:ascii="Times New Roman" w:hAnsi="Times New Roman" w:eastAsia="宋体"/>
          <w:sz w:val="24"/>
        </w:rPr>
        <w:t>当本例出现明显玻璃体混浊、黄斑旁大病灶及卫星病灶时，玻璃体切除既用于获取病原标本，也用于处理眼内感染及相关结构问题。2025年共识强调玻切的诊断、治疗与并发症管理作用，并支持在适当患者中尽早实施手术</w:t>
      </w:r>
      <w:r>
        <w:rPr>
          <w:rFonts w:ascii="Times New Roman" w:hAnsi="Times New Roman" w:eastAsia="宋体"/>
          <w:sz w:val="24"/>
        </w:rPr>
        <w:t>[1]</w:t>
      </w:r>
      <w:r>
        <w:rPr>
          <w:rFonts w:ascii="Times New Roman" w:hAnsi="Times New Roman" w:eastAsia="宋体"/>
          <w:sz w:val="24"/>
        </w:rPr>
        <w:t>。但共识和其引用的观察性研究不能替代本例对具体手术时机的个体化判断；也不能将主要针对急性术后细菌性眼内炎的治疗路径直接套用于曲霉感染。术后全身伏立康唑用于眼内组织感染并兼顾可能的眼外感染，眼内给药则直接增加患眼局部药物暴露，但本例缺少对照，无法分离玻切、硅油填充、口服及眼内给药各自的贡献。硅油填充状态本身不能作为抗真菌有效或感染清除的证据。</w:t>
      </w:r>
    </w:p>
    <w:p>
      <w:r>
        <w:rPr>
          <w:rFonts w:ascii="Times New Roman" w:hAnsi="Times New Roman" w:eastAsia="宋体"/>
          <w:sz w:val="24"/>
        </w:rPr>
        <w:t>与吴等</w:t>
      </w:r>
      <w:r>
        <w:rPr>
          <w:rFonts w:ascii="Times New Roman" w:hAnsi="Times New Roman" w:eastAsia="宋体"/>
          <w:sz w:val="24"/>
        </w:rPr>
        <w:t>[4]</w:t>
      </w:r>
      <w:r>
        <w:rPr>
          <w:rFonts w:ascii="Times New Roman" w:hAnsi="Times New Roman" w:eastAsia="宋体"/>
          <w:sz w:val="24"/>
        </w:rPr>
        <w:t>较清楚的静脉转口服治疗、眼内给药和后续硅油取出节点相比，本例最影响治疗可解释性的缺口是实际眼内剂量、体积、重复次数及全身疗程，而不只是药物名称。文献中的常用方案不能回填成本例实际医嘱，非硅油眼的给药资料也不能未经适用性评估就视为本例的充分依据。共识对全身抗真菌治疗前的肝肾功能评估和治疗监测有明确重视</w:t>
      </w:r>
      <w:r>
        <w:rPr>
          <w:rFonts w:ascii="Times New Roman" w:hAnsi="Times New Roman" w:eastAsia="宋体"/>
          <w:sz w:val="24"/>
        </w:rPr>
        <w:t>[1]</w:t>
      </w:r>
      <w:r>
        <w:rPr>
          <w:rFonts w:ascii="Times New Roman" w:hAnsi="Times New Roman" w:eastAsia="宋体"/>
          <w:sz w:val="24"/>
        </w:rPr>
        <w:t>。本例ALT由53 U/L升至106 U/L，应补充变化时点、其他肝功能、血药浓度监测（若已进行）及实际处理；单凭这两个数值尚不能将其确诊为伏立康唑相关肝损伤。</w:t>
      </w:r>
    </w:p>
    <w:p>
      <w:r>
        <w:rPr>
          <w:rFonts w:ascii="Times New Roman" w:hAnsi="Times New Roman" w:eastAsia="宋体"/>
          <w:sz w:val="24"/>
        </w:rPr>
        <w:t>激素暴露亦应放在正确的证据框架中。本例接受的是感染尚未明确时的局部及球旁激素，之后发生病情进展；这种时序值得报告，但不能证明激素造成真菌扩散或决定了视力结局。2025年共识中关于眼内地塞米松的命题仅获25%支持，未形成支持性共识</w:t>
      </w:r>
      <w:r>
        <w:rPr>
          <w:rFonts w:ascii="Times New Roman" w:hAnsi="Times New Roman" w:eastAsia="宋体"/>
          <w:sz w:val="24"/>
        </w:rPr>
        <w:t>[1]</w:t>
      </w:r>
      <w:r>
        <w:rPr>
          <w:rFonts w:ascii="Times New Roman" w:hAnsi="Times New Roman" w:eastAsia="宋体"/>
          <w:sz w:val="24"/>
        </w:rPr>
        <w:t>，反映的是该辅助治疗问题的不确定性；其给药途径和治疗背景又与本例不同，不能直接用于估计本例局部或球旁治疗的效果。临床上更可取的启示是：抗炎后的短暂缓解不能替代持续病原评估，特别是在病灶与玻璃体炎症继续发展的情况下。</w:t>
      </w:r>
    </w:p>
    <w:p>
      <w:r>
        <w:rPr>
          <w:rFonts w:ascii="Times New Roman" w:hAnsi="Times New Roman" w:eastAsia="宋体"/>
          <w:sz w:val="24"/>
        </w:rPr>
        <w:t>结局报告应区分感染控制、解剖状态和视功能。吴等</w:t>
      </w:r>
      <w:r>
        <w:rPr>
          <w:rFonts w:ascii="Times New Roman" w:hAnsi="Times New Roman" w:eastAsia="宋体"/>
          <w:sz w:val="24"/>
        </w:rPr>
        <w:t>[4]</w:t>
      </w:r>
      <w:r>
        <w:rPr>
          <w:rFonts w:ascii="Times New Roman" w:hAnsi="Times New Roman" w:eastAsia="宋体"/>
          <w:sz w:val="24"/>
        </w:rPr>
        <w:t>在较长期随访中记录到视网膜平伏、黄斑瘢痕及硅油取出后视力0.05；周等</w:t>
      </w:r>
      <w:r>
        <w:rPr>
          <w:rFonts w:ascii="Times New Roman" w:hAnsi="Times New Roman" w:eastAsia="宋体"/>
          <w:sz w:val="24"/>
        </w:rPr>
        <w:t>[2]</w:t>
      </w:r>
      <w:r>
        <w:rPr>
          <w:rFonts w:ascii="Times New Roman" w:hAnsi="Times New Roman" w:eastAsia="宋体"/>
          <w:sz w:val="24"/>
        </w:rPr>
        <w:t>亦显示炎症稳定与严重视力损害可以同时存在。因此，视力恢复不佳不能单独证明抗真菌无效，眼部症状减轻也不能证明感染已经清除。本例初诊已累及黄斑，末次记录仍为眼前指数，并有前房反应、出血和视网膜浅脱离，尚缺停药、复发与长期视网膜状态资料。更完整的随访可帮助区分持续感染、炎症残留和结构性后遗损害；在取得这些资料前，应如实报告尚不完整的早期结局。</w:t>
      </w:r>
    </w:p>
    <w:p>
      <w:pPr>
        <w:pStyle w:val="Heading2"/>
      </w:pPr>
      <w:r>
        <w:rPr>
          <w:rFonts w:ascii="Times New Roman" w:hAnsi="Times New Roman" w:eastAsia="宋体"/>
          <w:sz w:val="24"/>
        </w:rPr>
        <w:t>病例价值与报告局限</w:t>
      </w:r>
    </w:p>
    <w:p>
      <w:r>
        <w:rPr>
          <w:rFonts w:ascii="Times New Roman" w:hAnsi="Times New Roman" w:eastAsia="宋体"/>
          <w:sz w:val="24"/>
        </w:rPr>
        <w:t>本例可支持的核心信息是：血管炎样改变并不能排除真菌性病因，后极部黄白色病灶、出血及进行性玻璃体炎应促使诊断重评；规范取样与培养、靶向分子结果的正确对应，有助于提高病原归因的可信度。它尚不能证明新的感染机制、检测优越性或某一联合治疗的疗效。感染源及宿主评估不完整、外院阴性检测资料缺失、手术标本类别待对应、缺少真实的动态影像序列、给药记录不全及随访较短，是需要在终稿中解决或明确承认的主要局限。</w:t>
      </w:r>
    </w:p>
    <w:p>
      <w:pPr>
        <w:pStyle w:val="Heading2"/>
      </w:pPr>
      <w:r>
        <w:rPr>
          <w:rFonts w:ascii="Times New Roman" w:hAnsi="Times New Roman" w:eastAsia="宋体"/>
          <w:sz w:val="24"/>
        </w:rPr>
        <w:t>声明</w:t>
      </w:r>
    </w:p>
    <w:p>
      <w:r>
        <w:rPr>
          <w:rFonts w:ascii="Times New Roman" w:hAnsi="Times New Roman" w:eastAsia="宋体"/>
          <w:sz w:val="24"/>
        </w:rPr>
        <w:t>患者知情同意：已取得患者就本病例及相关图像发表的书面知情同意。</w:t>
      </w:r>
    </w:p>
    <w:p>
      <w:r>
        <w:rPr>
          <w:rFonts w:ascii="Times New Roman" w:hAnsi="Times New Roman" w:eastAsia="宋体"/>
          <w:sz w:val="24"/>
        </w:rPr>
        <w:t>伦理审查：</w:t>
      </w:r>
      <w:r>
        <w:rPr>
          <w:rFonts w:ascii="Times New Roman" w:hAnsi="Times New Roman" w:eastAsia="宋体"/>
          <w:color w:val="B22222"/>
          <w:sz w:val="24"/>
        </w:rPr>
        <w:t>[请按所在医院规定及目标期刊要求填写审批或豁免情况；不得未经确认直接写“无需审批”。]</w:t>
      </w:r>
    </w:p>
    <w:p>
      <w:r>
        <w:rPr>
          <w:rFonts w:ascii="Times New Roman" w:hAnsi="Times New Roman" w:eastAsia="宋体"/>
          <w:sz w:val="24"/>
        </w:rPr>
        <w:t>利益冲突：</w:t>
      </w:r>
      <w:r>
        <w:rPr>
          <w:rFonts w:ascii="Times New Roman" w:hAnsi="Times New Roman" w:eastAsia="宋体"/>
          <w:color w:val="B22222"/>
          <w:sz w:val="24"/>
        </w:rPr>
        <w:t>[请各作者确认并填写；尚不能代填“无”。]</w:t>
      </w:r>
    </w:p>
    <w:p>
      <w:r>
        <w:rPr>
          <w:rFonts w:ascii="Times New Roman" w:hAnsi="Times New Roman" w:eastAsia="宋体"/>
          <w:sz w:val="24"/>
        </w:rPr>
        <w:t>基金项目：</w:t>
      </w:r>
      <w:r>
        <w:rPr>
          <w:rFonts w:ascii="Times New Roman" w:hAnsi="Times New Roman" w:eastAsia="宋体"/>
          <w:color w:val="B22222"/>
          <w:sz w:val="24"/>
        </w:rPr>
        <w:t>[如有，填写基金名称及编号；如无，由作者确认后填写“无”。]</w:t>
      </w:r>
    </w:p>
    <w:p>
      <w:r>
        <w:rPr>
          <w:rFonts w:ascii="Times New Roman" w:hAnsi="Times New Roman" w:eastAsia="宋体"/>
          <w:sz w:val="24"/>
        </w:rPr>
        <w:t>作者贡献：</w:t>
      </w:r>
      <w:r>
        <w:rPr>
          <w:rFonts w:ascii="Times New Roman" w:hAnsi="Times New Roman" w:eastAsia="宋体"/>
          <w:color w:val="B22222"/>
          <w:sz w:val="24"/>
        </w:rPr>
        <w:t>[请按实际贡献分别填写聂圣琼、占宇姝、靳鹍的工作，并确认所有作者符合署名要求、审阅并批准最终稿。]</w:t>
      </w:r>
    </w:p>
    <w:p>
      <w:pPr>
        <w:pStyle w:val="Heading2"/>
      </w:pPr>
      <w:r>
        <w:rPr>
          <w:rFonts w:ascii="Times New Roman" w:hAnsi="Times New Roman" w:eastAsia="宋体"/>
          <w:sz w:val="24"/>
        </w:rPr>
        <w:t>参考文献</w:t>
      </w:r>
    </w:p>
    <w:p>
      <w:pPr>
        <w:ind w:left="397" w:hanging="397"/>
      </w:pPr>
      <w:r>
        <w:rPr>
          <w:rFonts w:ascii="Times New Roman" w:hAnsi="Times New Roman" w:eastAsia="宋体"/>
          <w:sz w:val="24"/>
        </w:rPr>
        <w:t>[1]</w:t>
      </w:r>
      <w:r>
        <w:rPr>
          <w:rFonts w:ascii="Times New Roman" w:hAnsi="Times New Roman" w:eastAsia="宋体"/>
          <w:sz w:val="24"/>
        </w:rPr>
        <w:t xml:space="preserve"> Das T, Radke NV, Sallam AB, et al. International consensuses and guidelines on diagnosing and managing fungal endophthalmitis by the Asia-Pacific Vitreo-retina Society (APVRS), the Academy of the Asia-Pacific Professors of Ophthalmology (AAPPO), and the Asia-Pacific Society of Ocular Inflammation and Infection (APSOII)</w:t>
      </w:r>
      <w:r>
        <w:rPr>
          <w:rFonts w:ascii="Times New Roman" w:hAnsi="Times New Roman" w:eastAsia="宋体"/>
          <w:sz w:val="24"/>
        </w:rPr>
        <w:t>[J]</w:t>
      </w:r>
      <w:r>
        <w:rPr>
          <w:rFonts w:ascii="Times New Roman" w:hAnsi="Times New Roman" w:eastAsia="宋体"/>
          <w:sz w:val="24"/>
        </w:rPr>
        <w:t>. Eye Vis (Lond), 2025, 12: 40. DOI:10.1186/s40662-025-00456-y.</w:t>
      </w:r>
    </w:p>
    <w:p>
      <w:pPr>
        <w:ind w:left="397" w:hanging="397"/>
      </w:pPr>
      <w:r>
        <w:rPr>
          <w:rFonts w:ascii="Times New Roman" w:hAnsi="Times New Roman" w:eastAsia="宋体"/>
          <w:sz w:val="24"/>
        </w:rPr>
        <w:t>[2]</w:t>
      </w:r>
      <w:r>
        <w:rPr>
          <w:rFonts w:ascii="Times New Roman" w:hAnsi="Times New Roman" w:eastAsia="宋体"/>
          <w:sz w:val="24"/>
        </w:rPr>
        <w:t xml:space="preserve"> 周云云, 王睿, 马为梅. 误诊为真菌性眼内炎的诺卡菌眼内炎1例</w:t>
      </w:r>
      <w:r>
        <w:rPr>
          <w:rFonts w:ascii="Times New Roman" w:hAnsi="Times New Roman" w:eastAsia="宋体"/>
          <w:sz w:val="24"/>
        </w:rPr>
        <w:t>[DB/OL]</w:t>
      </w:r>
      <w:r>
        <w:rPr>
          <w:rFonts w:ascii="Times New Roman" w:hAnsi="Times New Roman" w:eastAsia="宋体"/>
          <w:sz w:val="24"/>
        </w:rPr>
        <w:t>. 中国临床案例成果数据库, 2025, 7（2025-08-15）. DOI:10.3760/cma.j.cmcr20250703-02667.</w:t>
      </w:r>
    </w:p>
    <w:p>
      <w:pPr>
        <w:ind w:left="397" w:hanging="397"/>
      </w:pPr>
      <w:r>
        <w:rPr>
          <w:rFonts w:ascii="Times New Roman" w:hAnsi="Times New Roman" w:eastAsia="宋体"/>
          <w:sz w:val="24"/>
        </w:rPr>
        <w:t>[3]</w:t>
      </w:r>
      <w:r>
        <w:rPr>
          <w:rFonts w:ascii="Times New Roman" w:hAnsi="Times New Roman" w:eastAsia="宋体"/>
          <w:sz w:val="24"/>
        </w:rPr>
        <w:t xml:space="preserve"> 梁佳圆, 杨丽霞, 王亮, 等. 肝衰竭合并黄曲霉眼内炎1例</w:t>
      </w:r>
      <w:r>
        <w:rPr>
          <w:rFonts w:ascii="Times New Roman" w:hAnsi="Times New Roman" w:eastAsia="宋体"/>
          <w:sz w:val="24"/>
        </w:rPr>
        <w:t>[J]</w:t>
      </w:r>
      <w:r>
        <w:rPr>
          <w:rFonts w:ascii="Times New Roman" w:hAnsi="Times New Roman" w:eastAsia="宋体"/>
          <w:sz w:val="24"/>
        </w:rPr>
        <w:t>. 中华传染病杂志, 2022, 40(2): 106-107. DOI:10.3760/cma.j.cn311365-20210508-00165.</w:t>
      </w:r>
    </w:p>
    <w:p>
      <w:pPr>
        <w:ind w:left="397" w:hanging="397"/>
      </w:pPr>
      <w:r>
        <w:rPr>
          <w:rFonts w:ascii="Times New Roman" w:hAnsi="Times New Roman" w:eastAsia="宋体"/>
          <w:sz w:val="24"/>
        </w:rPr>
        <w:t>[4]</w:t>
      </w:r>
      <w:r>
        <w:rPr>
          <w:rFonts w:ascii="Times New Roman" w:hAnsi="Times New Roman" w:eastAsia="宋体"/>
          <w:sz w:val="24"/>
        </w:rPr>
        <w:t xml:space="preserve"> 吴金梅, 朱俊, 陈放, 等. 肺曲霉菌病合并内源性真菌性眼内炎1例</w:t>
      </w:r>
      <w:r>
        <w:rPr>
          <w:rFonts w:ascii="Times New Roman" w:hAnsi="Times New Roman" w:eastAsia="宋体"/>
          <w:sz w:val="24"/>
        </w:rPr>
        <w:t>[J]</w:t>
      </w:r>
      <w:r>
        <w:rPr>
          <w:rFonts w:ascii="Times New Roman" w:hAnsi="Times New Roman" w:eastAsia="宋体"/>
          <w:sz w:val="24"/>
        </w:rPr>
        <w:t>. 中华眼视光学与视觉科学杂志（中英文）, 2025, 27(11): 873-876. DOI:10.3760/cma.j.cn115909-20250328-00106.</w:t>
      </w:r>
    </w:p>
    <w:p>
      <w:pPr>
        <w:pStyle w:val="Heading2"/>
      </w:pPr>
      <w:r>
        <w:rPr>
          <w:rFonts w:ascii="Times New Roman" w:hAnsi="Times New Roman" w:eastAsia="宋体"/>
          <w:sz w:val="24"/>
        </w:rPr>
        <w:t>图位与中英文图注（待核对原图后定稿）</w:t>
      </w:r>
    </w:p>
    <w:p>
      <w:r>
        <w:rPr>
          <w:rFonts w:ascii="Times New Roman" w:hAnsi="Times New Roman" w:eastAsia="宋体"/>
          <w:sz w:val="24"/>
        </w:rPr>
        <w:t>图1　左眼玻璃体切除联合硅油填充术后第1天眼底像（2025年12月6日）。</w:t>
      </w:r>
      <w:r>
        <w:rPr>
          <w:rFonts w:ascii="Times New Roman" w:hAnsi="Times New Roman" w:eastAsia="宋体"/>
          <w:color w:val="B22222"/>
          <w:sz w:val="24"/>
        </w:rPr>
        <w:t>[拟采用原稿image6中的左眼眼底区域；请提供匿名化原始导出图，由临床作者确认病灶、出血及与手术的关系后完善描述。此图不能标注为11月24日初诊图。]</w:t>
      </w:r>
    </w:p>
    <w:p>
      <w:r>
        <w:rPr>
          <w:rFonts w:ascii="Times New Roman" w:hAnsi="Times New Roman" w:eastAsia="宋体"/>
          <w:sz w:val="24"/>
        </w:rPr>
        <w:t xml:space="preserve">Figure 1. Fundus image of the left eye on postoperative day 1 after pars plana vitrectomy and silicone oil tamponade (6 December 2025). </w:t>
      </w:r>
      <w:r>
        <w:rPr>
          <w:rFonts w:ascii="Times New Roman" w:hAnsi="Times New Roman" w:eastAsia="宋体"/>
          <w:sz w:val="24"/>
        </w:rPr>
        <w:t>[Provide the original de-identified image and confirm the findings before finalizing the legend.]</w:t>
      </w:r>
    </w:p>
    <w:p>
      <w:r>
        <w:rPr>
          <w:rFonts w:ascii="Times New Roman" w:hAnsi="Times New Roman" w:eastAsia="宋体"/>
          <w:sz w:val="24"/>
        </w:rPr>
        <w:t>图2　左眼玻璃体切除联合硅油填充术后第1天黄斑OCT（2025年12月6日）。</w:t>
      </w:r>
      <w:r>
        <w:rPr>
          <w:rFonts w:ascii="Times New Roman" w:hAnsi="Times New Roman" w:eastAsia="宋体"/>
          <w:color w:val="B22222"/>
          <w:sz w:val="24"/>
        </w:rPr>
        <w:t>[拟采用原稿image2中标注OS的下方两幅扫描；请提供匿名化原始图，保留必要的方位和尺度，由临床作者确认具体所见。原稿image8、image9为眼前节OCT，不用于本图。]</w:t>
      </w:r>
    </w:p>
    <w:p>
      <w:r>
        <w:rPr>
          <w:rFonts w:ascii="Times New Roman" w:hAnsi="Times New Roman" w:eastAsia="宋体"/>
          <w:sz w:val="24"/>
        </w:rPr>
        <w:t xml:space="preserve">Figure 2. Macular optical coherence tomography of the left eye on postoperative day 1 (6 December 2025). </w:t>
      </w:r>
      <w:r>
        <w:rPr>
          <w:rFonts w:ascii="Times New Roman" w:hAnsi="Times New Roman" w:eastAsia="宋体"/>
          <w:sz w:val="24"/>
        </w:rPr>
        <w:t>[Use the original OS scans and obtain clinical confirmation of the findings. The anterior-segment OCT reports are not macular scans.]</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777777"/>
        <w:sz w:val="16"/>
      </w:rPr>
      <w:t>备选投稿工作稿｜红色及方括号内容请核实后删除或替换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初诊为视网膜血管炎的黄曲霉性眼内炎一例</dc:title>
  <dc:subject>Case report submission working draft</dc:subject>
  <dc:creator>聂圣琼；占宇姝；靳鹍</dc:creator>
  <cp:keywords>endophthalmitis; case report; alternative submission draft</cp:keywords>
  <dc:description>Clinical details and unresolved author queries require final author verification.</dc:description>
  <cp:lastModifiedBy/>
  <cp:revision>1</cp:revision>
  <dcterms:created xsi:type="dcterms:W3CDTF">2013-12-23T23:15:00Z</dcterms:created>
  <dcterms:modified xsi:type="dcterms:W3CDTF">2013-12-23T23:15:00Z</dcterms:modified>
  <cp:category/>
</cp:coreProperties>
</file>