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宋体"/>
          <w:sz w:val="32"/>
        </w:rPr>
        <w:t>扩展文献证据图谱与PubMed待检索清单</w:t>
      </w:r>
    </w:p>
    <w:p>
      <w:r>
        <w:rPr>
          <w:rFonts w:ascii="Times New Roman" w:hAnsi="Times New Roman" w:eastAsia="宋体"/>
          <w:sz w:val="24"/>
        </w:rPr>
        <w:t>整理日期：2026年10月23日。以下是后续文献获取与核验清单，不是已完成的PubMed检索结果。本次NCBI请求遭现有网络代理CONNECT 403拒绝；没有得到命中数、PMID或摘要/全文，不能据此宣称纳入了新的PubMed文献。</w:t>
      </w:r>
    </w:p>
    <w:p>
      <w:r>
        <w:rPr>
          <w:rFonts w:ascii="Times New Roman" w:hAnsi="Times New Roman" w:eastAsia="宋体"/>
          <w:sz w:val="24"/>
        </w:rPr>
        <w:t>当前两份改稿正文仍仅引用已实际阅读的4份附件。下列15条包含1篇已读共识和14篇/组优先核验候选，主要从共识参考文献或已读病例的参考文献中定位；不得仅为增加引用数量全部加入终稿。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下一步检索和取舍</w:t>
      </w:r>
    </w:p>
    <w:p>
      <w:r>
        <w:rPr>
          <w:rFonts w:ascii="Times New Roman" w:hAnsi="Times New Roman" w:eastAsia="宋体"/>
          <w:sz w:val="24"/>
        </w:rPr>
        <w:t>先不限年份定位罕见病原病例、奠基研究与指南，再补2020年至今的新研究。按“曲霉病例与内源性队列—临床表型—培养/分子诊断—玻切与伏立康唑—长期结局”筛选。应记录检索日期、实际命中数、读到摘要或全文的范围及最终取舍，不把病例报告的叙述性检索写成系统综述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优先核验的文献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E1</w:t>
      </w:r>
    </w:p>
    <w:p>
      <w:r>
        <w:rPr>
          <w:rFonts w:ascii="Times New Roman" w:hAnsi="Times New Roman" w:eastAsia="宋体"/>
          <w:sz w:val="24"/>
        </w:rPr>
        <w:t>书目：Das T, Radke NV, Sallam AB, Chang A, Grzybowski A, Bodaghi B, et al. International consensuses and guidelines on diagnosing and managing fungal endophthalmitis by the Asia-Pacific Vitreo-retina Society (APVRS), the Academy of the Asia-Pacific Professors of Ophthalmology (AAPPO), and the Asia-Pacific Society of Ocular Inflammation and Infection (APSOII). Eye Vis (Lond). 2025;12:40.</w:t>
      </w:r>
    </w:p>
    <w:p>
      <w:r>
        <w:rPr>
          <w:rFonts w:ascii="Times New Roman" w:hAnsi="Times New Roman" w:eastAsia="宋体"/>
          <w:sz w:val="24"/>
        </w:rPr>
        <w:t>核验状态：</w:t>
      </w:r>
      <w:r>
        <w:rPr>
          <w:rFonts w:ascii="Times New Roman" w:hAnsi="Times New Roman" w:eastAsia="宋体"/>
          <w:b/>
          <w:sz w:val="24"/>
        </w:rPr>
        <w:t>10.1186/s40662-025-00456-y；已读用户上传全文</w:t>
      </w:r>
    </w:p>
    <w:p>
      <w:r>
        <w:rPr>
          <w:rFonts w:ascii="Times New Roman" w:hAnsi="Times New Roman" w:eastAsia="宋体"/>
          <w:sz w:val="24"/>
        </w:rPr>
        <w:t>来源定位：全文；p4临床表现/系统评估，p6–7病原诊断，p7–11管理，p12分子诊断</w:t>
      </w:r>
    </w:p>
    <w:p>
      <w:r>
        <w:rPr>
          <w:rFonts w:ascii="Times New Roman" w:hAnsi="Times New Roman" w:eastAsia="宋体"/>
          <w:sz w:val="24"/>
        </w:rPr>
        <w:t>拟支持的讨论及限制：最近共识总框架。24位专家、20个命题、18项达到预设共识；不是随机试验。可以概述后段表现更突出、培养与分子互补、全身及眼内治疗、早期玻切倾向；必须注明激素为争议点。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E2</w:t>
      </w:r>
    </w:p>
    <w:p>
      <w:r>
        <w:rPr>
          <w:rFonts w:ascii="Times New Roman" w:hAnsi="Times New Roman" w:eastAsia="宋体"/>
          <w:sz w:val="24"/>
        </w:rPr>
        <w:t>书目：Haseeb AA, Elhusseiny AM, Siddiqui MZ, Ahmad KT, Sallam AB. Fungal endophthalmitis: a comprehensive review. J Fungi. 2021;7(11):996.</w:t>
      </w:r>
    </w:p>
    <w:p>
      <w:r>
        <w:rPr>
          <w:rFonts w:ascii="Times New Roman" w:hAnsi="Times New Roman" w:eastAsia="宋体"/>
          <w:sz w:val="24"/>
        </w:rPr>
        <w:t>核验状态：DOI待原始条目核验；</w:t>
      </w:r>
      <w:r>
        <w:rPr>
          <w:rFonts w:ascii="Times New Roman" w:hAnsi="Times New Roman" w:eastAsia="宋体"/>
          <w:b/>
          <w:sz w:val="24"/>
        </w:rPr>
        <w:t>仅核到书目</w:t>
      </w:r>
    </w:p>
    <w:p>
      <w:r>
        <w:rPr>
          <w:rFonts w:ascii="Times New Roman" w:hAnsi="Times New Roman" w:eastAsia="宋体"/>
          <w:sz w:val="24"/>
        </w:rPr>
        <w:t>来源定位：共识参考文献57，p17；共识管理段p8引入综述范围</w:t>
      </w:r>
    </w:p>
    <w:p>
      <w:r>
        <w:rPr>
          <w:rFonts w:ascii="Times New Roman" w:hAnsi="Times New Roman" w:eastAsia="宋体"/>
          <w:sz w:val="24"/>
        </w:rPr>
        <w:t>拟支持的讨论及限制：高价值综合综述，适合补充病因分类、临床表型、药物渗透与治疗选择。不得在未读全文前把其推荐直接当成高等级证据或写具体统计数字。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E3</w:t>
      </w:r>
    </w:p>
    <w:p>
      <w:r>
        <w:rPr>
          <w:rFonts w:ascii="Times New Roman" w:hAnsi="Times New Roman" w:eastAsia="宋体"/>
          <w:sz w:val="24"/>
        </w:rPr>
        <w:t>书目：Bihaniya H, Rudraprasad D, Joseph J. Pathobiology of fungal endophthalmitis: a major review. ACS Infect Dis. 2024;10(9):3126–3137.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</w:t>
      </w:r>
    </w:p>
    <w:p>
      <w:r>
        <w:rPr>
          <w:rFonts w:ascii="Times New Roman" w:hAnsi="Times New Roman" w:eastAsia="宋体"/>
          <w:sz w:val="24"/>
        </w:rPr>
        <w:t>来源定位：共识参考文献9，p16；共识病理生物学p3–4</w:t>
      </w:r>
    </w:p>
    <w:p>
      <w:r>
        <w:rPr>
          <w:rFonts w:ascii="Times New Roman" w:hAnsi="Times New Roman" w:eastAsia="宋体"/>
          <w:sz w:val="24"/>
        </w:rPr>
        <w:t>拟支持的讨论及限制：与本例血管炎样表现相关：真菌组织损害、宿主反应及后段病变的机制解释。属于综述；本例无组织病理，不能写成已直接证明黄曲霉侵袭本患者视网膜血管。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E4</w:t>
      </w:r>
    </w:p>
    <w:p>
      <w:r>
        <w:rPr>
          <w:rFonts w:ascii="Times New Roman" w:hAnsi="Times New Roman" w:eastAsia="宋体"/>
          <w:sz w:val="24"/>
        </w:rPr>
        <w:t>书目：Das T, Agarwal M, Anand AR, Behera UC, Bhende M, Das AV, et al. Fungal endophthalmitis: analysis of 730 consecutive eyes from 7 tertiary eye care centers in India. Ophthalmol Retina. 2022;6(3):243–251.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仅核到书目；共识转述已读</w:t>
      </w:r>
    </w:p>
    <w:p>
      <w:r>
        <w:rPr>
          <w:rFonts w:ascii="Times New Roman" w:hAnsi="Times New Roman" w:eastAsia="宋体"/>
          <w:sz w:val="24"/>
        </w:rPr>
        <w:t>来源定位：共识参考文献21，p16；p7玻切、p10结局及表6</w:t>
      </w:r>
    </w:p>
    <w:p>
      <w:r>
        <w:rPr>
          <w:rFonts w:ascii="Times New Roman" w:hAnsi="Times New Roman" w:eastAsia="宋体"/>
          <w:sz w:val="24"/>
        </w:rPr>
        <w:t>拟支持的讨论及限制：多中心病例系列，规模较大，可用于流行病原和结局背景。730眼包括术后、外伤和内源性，不能把全体病例数字直接套在本例推定内源性黄曲霉感染；外推中国单中心也有局限。必须核对内源性亚组与原始结局定义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E5</w:t>
      </w:r>
    </w:p>
    <w:p>
      <w:r>
        <w:rPr>
          <w:rFonts w:ascii="Times New Roman" w:hAnsi="Times New Roman" w:eastAsia="宋体"/>
          <w:sz w:val="24"/>
        </w:rPr>
        <w:t>书目：Chen KJ, Sun MH, Chen YP, Chen YH, Wang NK, Liu L, et al. Endogenous fungal endophthalmitis: causative organisms, treatments, and visual outcomes. J Fungi (Basel). 2022;8(6):641.</w:t>
      </w:r>
    </w:p>
    <w:p>
      <w:r>
        <w:rPr>
          <w:rFonts w:ascii="Times New Roman" w:hAnsi="Times New Roman" w:eastAsia="宋体"/>
          <w:sz w:val="24"/>
        </w:rPr>
        <w:t>核验状态：</w:t>
      </w:r>
      <w:r>
        <w:rPr>
          <w:rFonts w:ascii="Times New Roman" w:hAnsi="Times New Roman" w:eastAsia="宋体"/>
          <w:b/>
          <w:sz w:val="24"/>
        </w:rPr>
        <w:t>10.3390/jof8060641；DOI及书目在用户上传中文病例参考文献中核到；未读原始全文</w:t>
      </w:r>
    </w:p>
    <w:p>
      <w:r>
        <w:rPr>
          <w:rFonts w:ascii="Times New Roman" w:hAnsi="Times New Roman" w:eastAsia="宋体"/>
          <w:sz w:val="24"/>
        </w:rPr>
        <w:t>来源定位：共识参考文献20，p16；附件《肺曲霉菌病……》参考文献2</w:t>
      </w:r>
    </w:p>
    <w:p>
      <w:r>
        <w:rPr>
          <w:rFonts w:ascii="Times New Roman" w:hAnsi="Times New Roman" w:eastAsia="宋体"/>
          <w:sz w:val="24"/>
        </w:rPr>
        <w:t>拟支持的讨论及限制：内源性真菌眼内炎观察性队列，适合比较酵母/霉菌、临床特征和视觉结局。需要回读是否具曲霉分层，不能只凭题名声称黄曲霉比其他病原预后更差。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E6</w:t>
      </w:r>
    </w:p>
    <w:p>
      <w:r>
        <w:rPr>
          <w:rFonts w:ascii="Times New Roman" w:hAnsi="Times New Roman" w:eastAsia="宋体"/>
          <w:sz w:val="24"/>
        </w:rPr>
        <w:t>书目：Lingappan A, Wykoff CC, Albini TA, Miller D, Pathengay A, Davis JL, et al. Endogenous fungal endophthalmitis: causative organisms, management strategies, and visual acuity outcomes. Am J Ophthalmol. 2012;153(1):162–166.e1.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</w:t>
      </w:r>
    </w:p>
    <w:p>
      <w:r>
        <w:rPr>
          <w:rFonts w:ascii="Times New Roman" w:hAnsi="Times New Roman" w:eastAsia="宋体"/>
          <w:sz w:val="24"/>
        </w:rPr>
        <w:t>来源定位：共识参考文献35，p16；p6表3内源性风险背景</w:t>
      </w:r>
    </w:p>
    <w:p>
      <w:r>
        <w:rPr>
          <w:rFonts w:ascii="Times New Roman" w:hAnsi="Times New Roman" w:eastAsia="宋体"/>
          <w:sz w:val="24"/>
        </w:rPr>
        <w:t>拟支持的讨论及限制：内源性病例系列，适合病原谱、治疗策略和视力结局。必须核对研究设计、病例数、病原分组；本例FC未记BCVA，不应与其最佳矫正视力直接等同。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E7</w:t>
      </w:r>
    </w:p>
    <w:p>
      <w:r>
        <w:rPr>
          <w:rFonts w:ascii="Times New Roman" w:hAnsi="Times New Roman" w:eastAsia="宋体"/>
          <w:sz w:val="24"/>
        </w:rPr>
        <w:t>书目：Sridhar J, Flynn HW Jr, Kuriyan AE, et al. Endogenous fungal endophthalmitis: risk factors, clinical features, and treatment outcomes in mold and yeast infections. J Ophthalmic Inflamm Infect. 2013;3(1):60.</w:t>
      </w:r>
    </w:p>
    <w:p>
      <w:r>
        <w:rPr>
          <w:rFonts w:ascii="Times New Roman" w:hAnsi="Times New Roman" w:eastAsia="宋体"/>
          <w:sz w:val="24"/>
        </w:rPr>
        <w:t>核验状态：</w:t>
      </w:r>
      <w:r>
        <w:rPr>
          <w:rFonts w:ascii="Times New Roman" w:hAnsi="Times New Roman" w:eastAsia="宋体"/>
          <w:b/>
          <w:sz w:val="24"/>
        </w:rPr>
        <w:t>10.1186/1869-5760-3-60；书目及DOI在附件《肺曲霉菌病……》参考文献1核到；未读原始全文</w:t>
      </w:r>
    </w:p>
    <w:p>
      <w:r>
        <w:rPr>
          <w:rFonts w:ascii="Times New Roman" w:hAnsi="Times New Roman" w:eastAsia="宋体"/>
          <w:sz w:val="24"/>
        </w:rPr>
        <w:t>来源定位：不在2025共识参考文献表；来自用户中文参考病例p4</w:t>
      </w:r>
    </w:p>
    <w:p>
      <w:r>
        <w:rPr>
          <w:rFonts w:ascii="Times New Roman" w:hAnsi="Times New Roman" w:eastAsia="宋体"/>
          <w:sz w:val="24"/>
        </w:rPr>
        <w:t>拟支持的讨论及限制：与本例最直接的霉菌/酵母比较候选。回读后才可讨论霉菌病灶、黄斑累及及预后差异；既往体健不能由该研究替本患者“证明免疫健全”。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E8</w:t>
      </w:r>
    </w:p>
    <w:p>
      <w:r>
        <w:rPr>
          <w:rFonts w:ascii="Times New Roman" w:hAnsi="Times New Roman" w:eastAsia="宋体"/>
          <w:sz w:val="24"/>
        </w:rPr>
        <w:t xml:space="preserve">书目：Jaeger EE, Carroll NM, Choudhury S, Dunlop AA, Towler HM, Matheson MM, et al. Rapid detection and identification of Candida, </w:t>
      </w:r>
      <w:r>
        <w:rPr>
          <w:rFonts w:ascii="Times New Roman" w:hAnsi="Times New Roman" w:eastAsia="宋体"/>
          <w:i/>
          <w:sz w:val="24"/>
        </w:rPr>
        <w:t>Aspergillus</w:t>
      </w:r>
      <w:r>
        <w:rPr>
          <w:rFonts w:ascii="Times New Roman" w:hAnsi="Times New Roman" w:eastAsia="宋体"/>
          <w:sz w:val="24"/>
        </w:rPr>
        <w:t>, and Fusarium species in ocular samples using nested PCR. J Clin Microbiol. 2000;38(8):2902–2908.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</w:t>
      </w:r>
    </w:p>
    <w:p>
      <w:r>
        <w:rPr>
          <w:rFonts w:ascii="Times New Roman" w:hAnsi="Times New Roman" w:eastAsia="宋体"/>
          <w:sz w:val="24"/>
        </w:rPr>
        <w:t>来源定位：共识参考文献43，p16；p6泛真菌PCR讨论</w:t>
      </w:r>
    </w:p>
    <w:p>
      <w:r>
        <w:rPr>
          <w:rFonts w:ascii="Times New Roman" w:hAnsi="Times New Roman" w:eastAsia="宋体"/>
          <w:sz w:val="24"/>
        </w:rPr>
        <w:t>拟支持的讨论及限制：眼标本分子诊断的原始研究候选。可解释传统培养之外的DNA检测价值。nested PCR不是tNGS，不能把其检出率或特异度移植成本例靶向捕获检测性能。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E9</w:t>
      </w:r>
    </w:p>
    <w:p>
      <w:r>
        <w:rPr>
          <w:rFonts w:ascii="Times New Roman" w:hAnsi="Times New Roman" w:eastAsia="宋体"/>
          <w:sz w:val="24"/>
        </w:rPr>
        <w:t>书目：Deshmukh D, Joseph J, Chakrabarti M, Sharma S, Jayasudha R, Sama KC, et al. New insights into culture-negative endophthalmitis by unbiased next generation sequencing. Sci Rep. 2019;9(1):844.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</w:t>
      </w:r>
    </w:p>
    <w:p>
      <w:r>
        <w:rPr>
          <w:rFonts w:ascii="Times New Roman" w:hAnsi="Times New Roman" w:eastAsia="宋体"/>
          <w:sz w:val="24"/>
        </w:rPr>
        <w:t>来源定位：共识参考文献44，p16；p6及p12分子诊断</w:t>
      </w:r>
    </w:p>
    <w:p>
      <w:r>
        <w:rPr>
          <w:rFonts w:ascii="Times New Roman" w:hAnsi="Times New Roman" w:eastAsia="宋体"/>
          <w:sz w:val="24"/>
        </w:rPr>
        <w:t>拟支持的讨论及限制：培养阴性、无偏NGS的原始研究候选，适合讨论低检出率及分子补充。但本例培养阳性、tNGS为靶向捕获，不能把无偏测序和本方法混称；更不能在未读对照设计前写“NGS优于培养”。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E10</w:t>
      </w:r>
    </w:p>
    <w:p>
      <w:r>
        <w:rPr>
          <w:rFonts w:ascii="Times New Roman" w:hAnsi="Times New Roman" w:eastAsia="宋体"/>
          <w:sz w:val="24"/>
        </w:rPr>
        <w:t>书目：Gandhi J, Jayasudha R, Naik P, Sharma S, Dave VP, Joseph J. Targeted high-throughput sequencing identifies predominantly fungal pathogens in patients with clinically infectious, culture-negative endophthalmitis in South India. Microorganisms. 2019;7(10):411.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</w:t>
      </w:r>
    </w:p>
    <w:p>
      <w:r>
        <w:rPr>
          <w:rFonts w:ascii="Times New Roman" w:hAnsi="Times New Roman" w:eastAsia="宋体"/>
          <w:sz w:val="24"/>
        </w:rPr>
        <w:t>来源定位：共识参考文献45，p16；p6分子方法讨论</w:t>
      </w:r>
    </w:p>
    <w:p>
      <w:r>
        <w:rPr>
          <w:rFonts w:ascii="Times New Roman" w:hAnsi="Times New Roman" w:eastAsia="宋体"/>
          <w:sz w:val="24"/>
        </w:rPr>
        <w:t>拟支持的讨论及限制：与“靶向”检测相关，但必须回读其靶向方案究竟是核酸扩增/靶基因测序还是捕获测序，不能仅凭标题认定与本例同一平台或方法。病例来自培养阴性选择人群，结果不自动代表所有疑似病例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E11</w:t>
      </w:r>
    </w:p>
    <w:p>
      <w:r>
        <w:rPr>
          <w:rFonts w:ascii="Times New Roman" w:hAnsi="Times New Roman" w:eastAsia="宋体"/>
          <w:sz w:val="24"/>
        </w:rPr>
        <w:t>书目：Mishra D, Satpathy G, Chawla R, Paliwal D, Panda SK. Targeted metagenomics using next generation sequencing in laboratory diagnosis of culture negative endophthalmitis. Heliyon. 2021;7(4):e06780.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</w:t>
      </w:r>
    </w:p>
    <w:p>
      <w:r>
        <w:rPr>
          <w:rFonts w:ascii="Times New Roman" w:hAnsi="Times New Roman" w:eastAsia="宋体"/>
          <w:sz w:val="24"/>
        </w:rPr>
        <w:t>来源定位：共识参考文献47，p16；p6–7分子方法讨论</w:t>
      </w:r>
    </w:p>
    <w:p>
      <w:r>
        <w:rPr>
          <w:rFonts w:ascii="Times New Roman" w:hAnsi="Times New Roman" w:eastAsia="宋体"/>
          <w:sz w:val="24"/>
        </w:rPr>
        <w:t>拟支持的讨论及限制：可与E9/E10比较不同测序路径。文中“targeted metagenomics”不能自动改成“targeted capture-based NGS”。同样不能把培养阴性病人的检出率视为本例感染概率。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E12</w:t>
      </w:r>
    </w:p>
    <w:p>
      <w:r>
        <w:rPr>
          <w:rFonts w:ascii="Times New Roman" w:hAnsi="Times New Roman" w:eastAsia="宋体"/>
          <w:sz w:val="24"/>
        </w:rPr>
        <w:t>书目：Behera UC, Budhwani M, Das T, Basu S, Padhi TR, Barik MR, et al. Role of early vitrectomy in the treatment of fungal endophthalmitis. Retina. 2018;38(7):1385–1392.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仅核到书目；共识转述已读</w:t>
      </w:r>
    </w:p>
    <w:p>
      <w:r>
        <w:rPr>
          <w:rFonts w:ascii="Times New Roman" w:hAnsi="Times New Roman" w:eastAsia="宋体"/>
          <w:sz w:val="24"/>
        </w:rPr>
        <w:t>来源定位：共识参考文献50，p16；p8早期玻切段，p10命题4.1</w:t>
      </w:r>
    </w:p>
    <w:p>
      <w:r>
        <w:rPr>
          <w:rFonts w:ascii="Times New Roman" w:hAnsi="Times New Roman" w:eastAsia="宋体"/>
          <w:sz w:val="24"/>
        </w:rPr>
        <w:t>拟支持的讨论及限制：玻切时机最相关原始研究候选。需要核对“early”的操作定义、病原类别、比较组与混杂调整。观察性关联不能写成随机因果结论；本病例初诊到玻切11日不能未经原文定义直接贴“延迟治疗”标签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E13</w:t>
      </w:r>
    </w:p>
    <w:p>
      <w:r>
        <w:rPr>
          <w:rFonts w:ascii="Times New Roman" w:hAnsi="Times New Roman" w:eastAsia="宋体"/>
          <w:sz w:val="24"/>
        </w:rPr>
        <w:t xml:space="preserve">书目：Dupont D, Saison J, Mialhes P, Mouchel R, Wallon M, Persat F. </w:t>
      </w:r>
      <w:r>
        <w:rPr>
          <w:rFonts w:ascii="Times New Roman" w:hAnsi="Times New Roman" w:eastAsia="宋体"/>
          <w:i/>
          <w:sz w:val="24"/>
        </w:rPr>
        <w:t>Aspergillus</w:t>
      </w:r>
      <w:r>
        <w:rPr>
          <w:rFonts w:ascii="Times New Roman" w:hAnsi="Times New Roman" w:eastAsia="宋体"/>
          <w:sz w:val="24"/>
        </w:rPr>
        <w:t xml:space="preserve"> endophthalmitis: potential role for vitreous galactomannan testing. Int J Infect Dis. 2020;96:151–153.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仅核到书目；共识转述已读</w:t>
      </w:r>
    </w:p>
    <w:p>
      <w:r>
        <w:rPr>
          <w:rFonts w:ascii="Times New Roman" w:hAnsi="Times New Roman" w:eastAsia="宋体"/>
          <w:sz w:val="24"/>
        </w:rPr>
        <w:t>来源定位：共识参考文献84，p17；p11 GM讨论</w:t>
      </w:r>
    </w:p>
    <w:p>
      <w:r>
        <w:rPr>
          <w:rFonts w:ascii="Times New Roman" w:hAnsi="Times New Roman" w:eastAsia="宋体"/>
          <w:sz w:val="24"/>
        </w:rPr>
        <w:t>拟支持的讨论及限制：曲霉眼内感染的辅助生物标志物候选，可用于讨论当培养/常规检验未明确时的补充思路。不应虚写本患者GM或BDG结果，也不能将血清GM性能与玻璃体GM混用。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E14</w:t>
      </w:r>
    </w:p>
    <w:p>
      <w:r>
        <w:rPr>
          <w:rFonts w:ascii="Times New Roman" w:hAnsi="Times New Roman" w:eastAsia="宋体"/>
          <w:sz w:val="24"/>
        </w:rPr>
        <w:t>书目：Das T, Joseph J, Jakati S, Sharma S, Velpandian T, Padhy SK, et al. Understanding the science of fungal endophthalmitis – AIOS 2021 Sengamedu Srinivas Badrinath Endowment Lecture. Indian J Ophthalmol. 2022;70(3):768–777.</w:t>
      </w:r>
    </w:p>
    <w:p>
      <w:r>
        <w:rPr>
          <w:rFonts w:ascii="Times New Roman" w:hAnsi="Times New Roman" w:eastAsia="宋体"/>
          <w:sz w:val="24"/>
        </w:rPr>
        <w:t>核验状态：DOI待核；</w:t>
      </w:r>
      <w:r>
        <w:rPr>
          <w:rFonts w:ascii="Times New Roman" w:hAnsi="Times New Roman" w:eastAsia="宋体"/>
          <w:b/>
          <w:sz w:val="24"/>
        </w:rPr>
        <w:t>仅核到书目；共识使用的临床图例已读</w:t>
      </w:r>
    </w:p>
    <w:p>
      <w:r>
        <w:rPr>
          <w:rFonts w:ascii="Times New Roman" w:hAnsi="Times New Roman" w:eastAsia="宋体"/>
          <w:sz w:val="24"/>
        </w:rPr>
        <w:t>来源定位：共识参考文献88，p17；p10图4包含培养黄曲霉的外伤性病例</w:t>
      </w:r>
    </w:p>
    <w:p>
      <w:r>
        <w:rPr>
          <w:rFonts w:ascii="Times New Roman" w:hAnsi="Times New Roman" w:eastAsia="宋体"/>
          <w:sz w:val="24"/>
        </w:rPr>
        <w:t>拟支持的讨论及限制：总论/讲座，适合病理、鉴别和治疗背景。该黄曲霉图例属于</w:t>
      </w:r>
      <w:r>
        <w:rPr>
          <w:rFonts w:ascii="Times New Roman" w:hAnsi="Times New Roman" w:eastAsia="宋体"/>
          <w:b/>
          <w:sz w:val="24"/>
        </w:rPr>
        <w:t>外伤性</w:t>
      </w:r>
      <w:r>
        <w:rPr>
          <w:rFonts w:ascii="Times New Roman" w:hAnsi="Times New Roman" w:eastAsia="宋体"/>
          <w:sz w:val="24"/>
        </w:rPr>
        <w:t>病例，经过多次玻切和14次眼内抗真菌；不得与本例无外伤、推定内源性病程混同，也不能据此建立标准给药次数。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E15</w:t>
      </w:r>
    </w:p>
    <w:p>
      <w:r>
        <w:rPr>
          <w:rFonts w:ascii="Times New Roman" w:hAnsi="Times New Roman" w:eastAsia="宋体"/>
          <w:sz w:val="24"/>
        </w:rPr>
        <w:t>书目：Patterson TF, Thompson GR 3rd, Denning DW, Fishman JA, Hadley S, Herbrecht R, et al. Practice Guidelines for the Diagnosis and Management of Aspergillosis: 2016 Update by the Infectious Diseases Society of America. Clin Infect Dis. 2016;63(4):e1–e60.</w:t>
      </w:r>
    </w:p>
    <w:p>
      <w:r>
        <w:rPr>
          <w:rFonts w:ascii="Times New Roman" w:hAnsi="Times New Roman" w:eastAsia="宋体"/>
          <w:sz w:val="24"/>
        </w:rPr>
        <w:t>核验状态：</w:t>
      </w:r>
      <w:r>
        <w:rPr>
          <w:rFonts w:ascii="Times New Roman" w:hAnsi="Times New Roman" w:eastAsia="宋体"/>
          <w:b/>
          <w:sz w:val="24"/>
        </w:rPr>
        <w:t>候选DOI 10.1093/cid/ciw326，来自既有书目知识，未在本次已读附件核验，须以PubMed/原文复核</w:t>
      </w:r>
    </w:p>
    <w:p>
      <w:r>
        <w:rPr>
          <w:rFonts w:ascii="Times New Roman" w:hAnsi="Times New Roman" w:eastAsia="宋体"/>
          <w:sz w:val="24"/>
        </w:rPr>
        <w:t>来源定位：不在2025共识参考文献中；应独立检索</w:t>
      </w:r>
    </w:p>
    <w:p>
      <w:r>
        <w:rPr>
          <w:rFonts w:ascii="Times New Roman" w:hAnsi="Times New Roman" w:eastAsia="宋体"/>
          <w:sz w:val="24"/>
        </w:rPr>
        <w:t>拟支持的讨论及限制：必须优先获取的曲霉病权威指南。应回读</w:t>
      </w:r>
      <w:r>
        <w:rPr>
          <w:rFonts w:ascii="Times New Roman" w:hAnsi="Times New Roman" w:eastAsia="宋体"/>
          <w:i/>
          <w:sz w:val="24"/>
        </w:rPr>
        <w:t>Aspergillus</w:t>
      </w:r>
      <w:r>
        <w:rPr>
          <w:rFonts w:ascii="Times New Roman" w:hAnsi="Times New Roman" w:eastAsia="宋体"/>
          <w:sz w:val="24"/>
        </w:rPr>
        <w:t xml:space="preserve"> endophthalmitis专门推荐，及voriconazole治疗药物监测、毒性/肝功能要求；不要把原文未核的推荐编号、证据等级或疗程硬写进终稿。属于指南，具体建议仍可能建立在有限眼科研究上。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可在本机浏览器执行的PubMed检索式</w:t>
      </w:r>
    </w:p>
    <w:p>
      <w:r>
        <w:rPr>
          <w:rFonts w:ascii="Times New Roman" w:hAnsi="Times New Roman" w:eastAsia="宋体"/>
          <w:sz w:val="24"/>
        </w:rPr>
        <w:t>以下链接是预设检索入口，未在本环境成功运行，不代表已经检索到或纳入了特定文章。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黄曲霉及曲霉眼内炎</w:t>
      </w:r>
    </w:p>
    <w:p>
      <w:r>
        <w:rPr>
          <w:rFonts w:ascii="Times New Roman" w:hAnsi="Times New Roman" w:eastAsia="宋体"/>
          <w:sz w:val="24"/>
        </w:rPr>
        <w:t>检索式：("Endophthalmitis"</w:t>
      </w:r>
      <w:r>
        <w:rPr>
          <w:rFonts w:ascii="Times New Roman" w:hAnsi="Times New Roman" w:eastAsia="宋体"/>
          <w:sz w:val="24"/>
        </w:rPr>
        <w:t>[Mesh]</w:t>
      </w:r>
      <w:r>
        <w:rPr>
          <w:rFonts w:ascii="Times New Roman" w:hAnsi="Times New Roman" w:eastAsia="宋体"/>
          <w:sz w:val="24"/>
        </w:rPr>
        <w:t xml:space="preserve"> OR endophthalmitis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 AND ("</w:t>
      </w:r>
      <w:r>
        <w:rPr>
          <w:rFonts w:ascii="Times New Roman" w:hAnsi="Times New Roman" w:eastAsia="宋体"/>
          <w:i/>
          <w:sz w:val="24"/>
        </w:rPr>
        <w:t>Aspergillus flavus</w:t>
      </w:r>
      <w:r>
        <w:rPr>
          <w:rFonts w:ascii="Times New Roman" w:hAnsi="Times New Roman" w:eastAsia="宋体"/>
          <w:sz w:val="24"/>
        </w:rPr>
        <w:t>"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aspergill*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</w:t>
      </w:r>
    </w:p>
    <w:p>
      <w:r>
        <w:rPr>
          <w:rFonts w:ascii="Times New Roman" w:hAnsi="Times New Roman" w:eastAsia="宋体"/>
          <w:sz w:val="24"/>
        </w:rPr>
        <w:t>PubMed入口：https://pubmed.ncbi.nlm.nih.gov/?term=%28%22Endophthalmitis%22%5BMesh%5D%20OR%20endophthalmitis%5Btiab%5D%29%20AND%20%28%22</w:t>
      </w:r>
      <w:r>
        <w:rPr>
          <w:rFonts w:ascii="Times New Roman" w:hAnsi="Times New Roman" w:eastAsia="宋体"/>
          <w:i/>
          <w:sz w:val="24"/>
        </w:rPr>
        <w:t>Aspergillus</w:t>
      </w:r>
      <w:r>
        <w:rPr>
          <w:rFonts w:ascii="Times New Roman" w:hAnsi="Times New Roman" w:eastAsia="宋体"/>
          <w:sz w:val="24"/>
        </w:rPr>
        <w:t>%20flavus%22%5Btiab%5D%20OR%20aspergill%2A%5Btiab%5D%29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内源性霉菌与酵母临床结局</w:t>
      </w:r>
    </w:p>
    <w:p>
      <w:r>
        <w:rPr>
          <w:rFonts w:ascii="Times New Roman" w:hAnsi="Times New Roman" w:eastAsia="宋体"/>
          <w:sz w:val="24"/>
        </w:rPr>
        <w:t>检索式：(endogenous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hematogenous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 AND (fungal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mold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mould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 AND endophthalmitis</w:t>
      </w:r>
      <w:r>
        <w:rPr>
          <w:rFonts w:ascii="Times New Roman" w:hAnsi="Times New Roman" w:eastAsia="宋体"/>
          <w:sz w:val="24"/>
        </w:rPr>
        <w:t>[tiab]</w:t>
      </w:r>
    </w:p>
    <w:p>
      <w:r>
        <w:rPr>
          <w:rFonts w:ascii="Times New Roman" w:hAnsi="Times New Roman" w:eastAsia="宋体"/>
          <w:sz w:val="24"/>
        </w:rPr>
        <w:t>PubMed入口：https://pubmed.ncbi.nlm.nih.gov/?term=%28endogenous%5Btiab%5D%20OR%20hematogenous%5Btiab%5D%29%20AND%20%28fungal%5Btiab%5D%20OR%20mold%5Btiab%5D%20OR%20mould%5Btiab%5D%29%20AND%20endophthalmitis%5Btiab%5D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眼内炎分子诊断方法</w:t>
      </w:r>
    </w:p>
    <w:p>
      <w:r>
        <w:rPr>
          <w:rFonts w:ascii="Times New Roman" w:hAnsi="Times New Roman" w:eastAsia="宋体"/>
          <w:sz w:val="24"/>
        </w:rPr>
        <w:t>检索式：endophthalmitis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AND ("next generation sequencing"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metagenomic*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"targeted sequencing"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PCR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</w:t>
      </w:r>
    </w:p>
    <w:p>
      <w:r>
        <w:rPr>
          <w:rFonts w:ascii="Times New Roman" w:hAnsi="Times New Roman" w:eastAsia="宋体"/>
          <w:sz w:val="24"/>
        </w:rPr>
        <w:t>PubMed入口：https://pubmed.ncbi.nlm.nih.gov/?term=endophthalmitis%5Btiab%5D%20AND%20%28%22next%20generation%20sequencing%22%5Btiab%5D%20OR%20metagenomic%2A%5Btiab%5D%20OR%20%22targeted%20sequencing%22%5Btiab%5D%20OR%20PCR%5Btiab%5D%29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玻切、伏立康唑和硅油相关证据</w:t>
      </w:r>
    </w:p>
    <w:p>
      <w:r>
        <w:rPr>
          <w:rFonts w:ascii="Times New Roman" w:hAnsi="Times New Roman" w:eastAsia="宋体"/>
          <w:sz w:val="24"/>
        </w:rPr>
        <w:t>检索式：(fungal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aspergill*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 AND endophthalmitis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AND (vitrectomy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voriconazole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"silicone oil"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</w:t>
      </w:r>
    </w:p>
    <w:p>
      <w:r>
        <w:rPr>
          <w:rFonts w:ascii="Times New Roman" w:hAnsi="Times New Roman" w:eastAsia="宋体"/>
          <w:sz w:val="24"/>
        </w:rPr>
        <w:t>PubMed入口：https://pubmed.ncbi.nlm.nih.gov/?term=%28fungal%5Btiab%5D%20OR%20aspergill%2A%5Btiab%5D%29%20AND%20endophthalmitis%5Btiab%5D%20AND%20%28vitrectomy%5Btiab%5D%20OR%20voriconazole%5Btiab%5D%20OR%20%22silicone%20oil%22%5Btiab%5D%29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曲霉病指南</w:t>
      </w:r>
    </w:p>
    <w:p>
      <w:r>
        <w:rPr>
          <w:rFonts w:ascii="Times New Roman" w:hAnsi="Times New Roman" w:eastAsia="宋体"/>
          <w:sz w:val="24"/>
        </w:rPr>
        <w:t>检索式：(aspergillosis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 xml:space="preserve"> OR aspergill*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 AND (guideline</w:t>
      </w:r>
      <w:r>
        <w:rPr>
          <w:rFonts w:ascii="Times New Roman" w:hAnsi="Times New Roman" w:eastAsia="宋体"/>
          <w:sz w:val="24"/>
        </w:rPr>
        <w:t>[pt]</w:t>
      </w:r>
      <w:r>
        <w:rPr>
          <w:rFonts w:ascii="Times New Roman" w:hAnsi="Times New Roman" w:eastAsia="宋体"/>
          <w:sz w:val="24"/>
        </w:rPr>
        <w:t xml:space="preserve"> OR practice guideline</w:t>
      </w:r>
      <w:r>
        <w:rPr>
          <w:rFonts w:ascii="Times New Roman" w:hAnsi="Times New Roman" w:eastAsia="宋体"/>
          <w:sz w:val="24"/>
        </w:rPr>
        <w:t>[pt]</w:t>
      </w:r>
      <w:r>
        <w:rPr>
          <w:rFonts w:ascii="Times New Roman" w:hAnsi="Times New Roman" w:eastAsia="宋体"/>
          <w:sz w:val="24"/>
        </w:rPr>
        <w:t xml:space="preserve"> OR "Infectious Diseases Society of America"</w:t>
      </w:r>
      <w:r>
        <w:rPr>
          <w:rFonts w:ascii="Times New Roman" w:hAnsi="Times New Roman" w:eastAsia="宋体"/>
          <w:sz w:val="24"/>
        </w:rPr>
        <w:t>[tiab]</w:t>
      </w:r>
      <w:r>
        <w:rPr>
          <w:rFonts w:ascii="Times New Roman" w:hAnsi="Times New Roman" w:eastAsia="宋体"/>
          <w:sz w:val="24"/>
        </w:rPr>
        <w:t>)</w:t>
      </w:r>
    </w:p>
    <w:p>
      <w:r>
        <w:rPr>
          <w:rFonts w:ascii="Times New Roman" w:hAnsi="Times New Roman" w:eastAsia="宋体"/>
          <w:sz w:val="24"/>
        </w:rPr>
        <w:t>PubMed入口：https://pubmed.ncbi.nlm.nih.gov/?term=%28aspergillosis%5Btiab%5D%20OR%20aspergill%2A%5Btiab%5D%29%20AND%20%28guideline%5Bpt%5D%20OR%20practice%20guideline%5Bpt%5D%20OR%20%22Infectious%20Diseases%20Society%20of%20America%22%5Btiab%5D%29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当前应如何使用这些候选文献</w:t>
      </w:r>
    </w:p>
    <w:p>
      <w:r>
        <w:rPr>
          <w:rFonts w:ascii="Times New Roman" w:hAnsi="Times New Roman" w:eastAsia="宋体"/>
          <w:sz w:val="24"/>
        </w:rPr>
        <w:t>取得PubMed记录后核对作者、年卷页、DOI和PMID；能获全文时核查研究设计、入选人群、方法和具体结果。对只有摘要的文章应标明范围，不据题名补出样本量、敏感度、危险比、药物剂量或结论。靶向扩增、捕获NGS、无偏mNGS和纳米孔测序不可混为同一种方法。</w:t>
      </w:r>
    </w:p>
    <w:p>
      <w:r>
        <w:rPr>
          <w:rFonts w:ascii="Times New Roman" w:hAnsi="Times New Roman" w:eastAsia="宋体"/>
          <w:sz w:val="24"/>
        </w:rPr>
        <w:t>正文优先使用能回答本例问题的原始研究，综述和指南用于搭建背景，相似病例用于有边界的比较。内源性/外源性、曲霉/其他真菌、硅油眼/非硅油眼、体外/动物/人体证据应分开解释。</w:t>
      </w:r>
    </w:p>
    <w:p>
      <w:pPr>
        <w:pStyle w:val="Heading2"/>
      </w:pPr>
      <w:r>
        <w:rPr>
          <w:rFonts w:ascii="Times New Roman" w:hAnsi="Times New Roman" w:eastAsia="宋体"/>
          <w:sz w:val="24"/>
        </w:rPr>
        <w:t>当前阻断与恢复条件</w:t>
      </w:r>
    </w:p>
    <w:p>
      <w:r>
        <w:rPr>
          <w:rFonts w:ascii="Times New Roman" w:hAnsi="Times New Roman" w:eastAsia="宋体"/>
          <w:sz w:val="24"/>
        </w:rPr>
        <w:t>PubMed、PMC及EUtils的官方访问需求已加入环境配置草稿，尚未应用到当前实例。新增NCBI域名为pubmed.ncbi.nlm.nih.gov、eutils.ncbi.nlm.nih.gov、pmc.ncbi.nlm.nih.gov、www.ncbi.nlm.nih.gov，原有自定义域名与网络预设均保留。需在环境设置中审阅、保存并发布配置，再重试相关操作；保存草稿本身不代表已开放访问或已完成文献检索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color w:val="777777"/>
        <w:sz w:val="16"/>
      </w:rPr>
      <w:t>备选投稿工作稿｜红色及方括号内容请核实后删除或替换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扩展文献证据图谱与PubMed待检索清单</dc:title>
  <dc:subject>Case report submission working draft</dc:subject>
  <dc:creator>Manuscript preparation materials</dc:creator>
  <cp:keywords>endophthalmitis; case report; alternative submission draft</cp:keywords>
  <dc:description>Clinical details and unresolved author queries require final author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