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低视力康复数字化服务项目</w:t>
      </w:r>
    </w:p>
    <w:p>
      <w:r>
        <w:rPr>
          <w:rFonts w:ascii="Noto Sans CJK SC" w:hAnsi="Noto Sans CJK SC" w:eastAsia="Noto Sans CJK SC"/>
          <w:b/>
          <w:color w:val="007F78"/>
          <w:sz w:val="32"/>
        </w:rPr>
        <w:t>多篇资料融合版｜逐页串词与评审问答</w:t>
      </w:r>
    </w:p>
    <w:p>
      <w:r>
        <w:rPr>
          <w:rFonts w:ascii="Noto Sans CJK SC" w:hAnsi="Noto Sans CJK SC" w:eastAsia="Noto Sans CJK SC"/>
          <w:b w:val="0"/>
          <w:color w:val="526978"/>
          <w:sz w:val="22"/>
        </w:rPr>
        <w:t>汇报单位：宜昌市中心人民医院  |  路演人员：聂圣琼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vAlign w:val="center"/>
            <w:shd w:fill="E0EEEA"/>
          </w:tcPr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color w:val="007F78"/>
                <w:sz w:val="22"/>
              </w:rPr>
              <w:t>PPT 共 16 页：12 页路演正文 + 2 页答辩备用 + 2 页资料出处。</w:t>
              <w:br/>
              <w:t>主讲目标 4 分 35 秒，预留约 25 秒用于停顿、翻页和现场调整。</w:t>
            </w:r>
          </w:p>
        </w:tc>
      </w:tr>
    </w:tbl>
    <w:p>
      <w:pPr>
        <w:spacing w:after="0"/>
      </w:pPr>
    </w:p>
    <w:p>
      <w:pPr>
        <w:pStyle w:val="Heading1"/>
      </w:pPr>
      <w:r>
        <w:t>使用方法</w:t>
      </w:r>
    </w:p>
    <w:p>
      <w:r>
        <w:rPr>
          <w:rFonts w:ascii="Noto Sans CJK SC" w:hAnsi="Noto Sans CJK SC" w:eastAsia="Noto Sans CJK SC"/>
          <w:b w:val="0"/>
          <w:color w:val="526978"/>
          <w:sz w:val="20"/>
        </w:rPr>
        <w:t>内容按项目背景、技术方案、助残成效、应用案例、推广计划组织。应用案例为经确认的路径示意，成效明确区分已有进展与预期获益。</w:t>
      </w:r>
    </w:p>
    <w:p>
      <w:r>
        <w:rPr>
          <w:rFonts w:ascii="Noto Sans CJK SC" w:hAnsi="Noto Sans CJK SC" w:eastAsia="Noto Sans CJK SC"/>
          <w:b w:val="0"/>
          <w:color w:val="14364B"/>
          <w:sz w:val="22"/>
        </w:rPr>
        <w:t>以下正文可直接朗读，页面之间的衔接已融入讲稿。建议按本人的实际语速至少计时彩排一次；到第 11 页时，应开始收束，备用页仅在答辩时按需展示。</w:t>
      </w:r>
    </w:p>
    <w:p>
      <w:pPr>
        <w:pStyle w:val="Heading1"/>
      </w:pPr>
      <w:r>
        <w:t>逐页时间分配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6236"/>
        <w:gridCol w:w="1701"/>
      </w:tblGrid>
      <w:tr>
        <w:tc>
          <w:tcPr>
            <w:tcW w:type="dxa" w:w="3194"/>
            <w:shd w:fill="007F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页码</w:t>
            </w:r>
          </w:p>
        </w:tc>
        <w:tc>
          <w:tcPr>
            <w:tcW w:type="dxa" w:w="3194"/>
            <w:shd w:fill="007F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94"/>
            <w:shd w:fill="007F78"/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建议累计用时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</w:t>
            </w:r>
          </w:p>
        </w:tc>
        <w:tc>
          <w:tcPr>
            <w:tcW w:type="dxa" w:w="6236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低视力康复数字化服务项目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0:12</w:t>
            </w:r>
          </w:p>
        </w:tc>
      </w:tr>
      <w:tr>
        <w:tc>
          <w:tcPr>
            <w:tcW w:type="dxa" w:w="907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</w:t>
            </w:r>
          </w:p>
        </w:tc>
        <w:tc>
          <w:tcPr>
            <w:tcW w:type="dxa" w:w="6236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项目背景：县域低视力康复的四个痛点</w:t>
            </w:r>
          </w:p>
        </w:tc>
        <w:tc>
          <w:tcPr>
            <w:tcW w:type="dxa" w:w="1701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0:34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</w:t>
            </w:r>
          </w:p>
        </w:tc>
        <w:tc>
          <w:tcPr>
            <w:tcW w:type="dxa" w:w="6236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技术方案：数字化康复闭环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1:02</w:t>
            </w:r>
          </w:p>
        </w:tc>
      </w:tr>
      <w:tr>
        <w:tc>
          <w:tcPr>
            <w:tcW w:type="dxa" w:w="907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</w:t>
            </w:r>
          </w:p>
        </w:tc>
        <w:tc>
          <w:tcPr>
            <w:tcW w:type="dxa" w:w="6236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技术方案：三类人群分层干预</w:t>
            </w:r>
          </w:p>
        </w:tc>
        <w:tc>
          <w:tcPr>
            <w:tcW w:type="dxa" w:w="1701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1:25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5</w:t>
            </w:r>
          </w:p>
        </w:tc>
        <w:tc>
          <w:tcPr>
            <w:tcW w:type="dxa" w:w="6236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棱镜适配：改变光路，辅助视觉补偿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1:56</w:t>
            </w:r>
          </w:p>
        </w:tc>
      </w:tr>
      <w:tr>
        <w:tc>
          <w:tcPr>
            <w:tcW w:type="dxa" w:w="907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6</w:t>
            </w:r>
          </w:p>
        </w:tc>
        <w:tc>
          <w:tcPr>
            <w:tcW w:type="dxa" w:w="6236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PRL训练：优化注视位点，延续居家康复</w:t>
            </w:r>
          </w:p>
        </w:tc>
        <w:tc>
          <w:tcPr>
            <w:tcW w:type="dxa" w:w="1701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2:30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  <w:tc>
          <w:tcPr>
            <w:tcW w:type="dxa" w:w="6236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数字化如何连接院内外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2:50</w:t>
            </w:r>
          </w:p>
        </w:tc>
      </w:tr>
      <w:tr>
        <w:tc>
          <w:tcPr>
            <w:tcW w:type="dxa" w:w="907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8</w:t>
            </w:r>
          </w:p>
        </w:tc>
        <w:tc>
          <w:tcPr>
            <w:tcW w:type="dxa" w:w="6236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助残成效：已有进展与预期获益</w:t>
            </w:r>
          </w:p>
        </w:tc>
        <w:tc>
          <w:tcPr>
            <w:tcW w:type="dxa" w:w="1701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3:13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9</w:t>
            </w:r>
          </w:p>
        </w:tc>
        <w:tc>
          <w:tcPr>
            <w:tcW w:type="dxa" w:w="6236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应用案例：中心视力受损人群服务路径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3:35</w:t>
            </w:r>
          </w:p>
        </w:tc>
      </w:tr>
      <w:tr>
        <w:tc>
          <w:tcPr>
            <w:tcW w:type="dxa" w:w="907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10</w:t>
            </w:r>
          </w:p>
        </w:tc>
        <w:tc>
          <w:tcPr>
            <w:tcW w:type="dxa" w:w="6236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应用基础：以现有临床能力支撑市县试点</w:t>
            </w:r>
          </w:p>
        </w:tc>
        <w:tc>
          <w:tcPr>
            <w:tcW w:type="dxa" w:w="1701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3:55</w:t>
            </w:r>
          </w:p>
        </w:tc>
      </w:tr>
      <w:tr>
        <w:tc>
          <w:tcPr>
            <w:tcW w:type="dxa" w:w="907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11</w:t>
            </w:r>
          </w:p>
        </w:tc>
        <w:tc>
          <w:tcPr>
            <w:tcW w:type="dxa" w:w="6236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推广计划：示范点—规范化—县域复制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4:20</w:t>
            </w:r>
          </w:p>
        </w:tc>
      </w:tr>
      <w:tr>
        <w:tc>
          <w:tcPr>
            <w:tcW w:type="dxa" w:w="907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12</w:t>
            </w:r>
          </w:p>
        </w:tc>
        <w:tc>
          <w:tcPr>
            <w:tcW w:type="dxa" w:w="6236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让康复离患者更近一步</w:t>
            </w:r>
          </w:p>
        </w:tc>
        <w:tc>
          <w:tcPr>
            <w:tcW w:type="dxa" w:w="1701"/>
            <w:shd w:fill="F2F5F3"/>
          </w:tcPr>
          <w:p>
            <w:pPr>
              <w:spacing w:after="60" w:before="60" w:line="264" w:lineRule="auto"/>
            </w:pPr>
            <w:r>
              <w:rPr>
                <w:rFonts w:ascii="Noto Sans CJK SC" w:hAnsi="Noto Sans CJK SC" w:eastAsia="Noto Sans CJK SC"/>
                <w:sz w:val="19"/>
              </w:rPr>
              <w:t>4:35</w:t>
            </w:r>
          </w:p>
        </w:tc>
      </w:tr>
    </w:tbl>
    <w:p>
      <w:pPr>
        <w:pStyle w:val="Heading1"/>
        <w:pageBreakBefore/>
      </w:pPr>
      <w:r>
        <w:t>第一部分｜项目背景与技术方案</w:t>
      </w:r>
    </w:p>
    <w:p>
      <w:pPr>
        <w:pStyle w:val="Heading2"/>
      </w:pPr>
      <w:r>
        <w:t>第 1 页｜低视力康复数字化服务项目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12 秒  ·  0:00—0:12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各位评委好！我是宜昌市中心人民医院眼科的聂圣琼，汇报低视力康复数字化服务项目，目标是把专业康复送到县域。</w:t>
      </w:r>
    </w:p>
    <w:p>
      <w:pPr>
        <w:pStyle w:val="Heading2"/>
      </w:pPr>
      <w:r>
        <w:t>第 2 页｜项目背景：县域低视力康复的四个痛点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22 秒  ·  0:12—0:34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县域患者的困难落在四个环节：发现晚，缺少便捷筛查；适配难，缺少精细评估；训练少，居家缺少指导；随访断，回家后缺少持续跟进。患者需要的是早发现、能适配、会训练、有随访。我们的方案就从这四项需求出发。</w:t>
      </w:r>
    </w:p>
    <w:p>
      <w:pPr>
        <w:pStyle w:val="Heading2"/>
      </w:pPr>
      <w:r>
        <w:t>第 3 页｜技术方案：数字化康复闭环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28 秒  ·  0:34—1:02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项目以筛查建档为起点，用多模态眼部影像结合人工智能分析，提示眼病及相关全身疾病风险，再由医生评估、会诊或转诊。随后，根据视功能情况制定干预和康复方案，并把训练与随访纳入动态档案。每次复评都用于调整下一步服务，让一次筛查成为持续康复的入口。</w:t>
      </w:r>
    </w:p>
    <w:p>
      <w:pPr>
        <w:pStyle w:val="Heading2"/>
      </w:pPr>
      <w:r>
        <w:t>第 4 页｜技术方案：三类人群分层干预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23 秒  ·  1:02—1:25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分层先看需求，再选工具和去向：高风险人群以影像和人工智能辅助分析提示风险，由医生决定转诊；视野缺损者评估视野及双眼视觉，考虑棱镜等助视适配；中心视力受损者用微视野评估，衔接生物反馈和视知觉训练。下面展开两项技术。</w:t>
      </w:r>
    </w:p>
    <w:p>
      <w:pPr>
        <w:pStyle w:val="Heading1"/>
        <w:pageBreakBefore/>
      </w:pPr>
      <w:r>
        <w:t>第二部分｜棱镜、PRL与助残成效</w:t>
      </w:r>
    </w:p>
    <w:p>
      <w:pPr>
        <w:pStyle w:val="Heading2"/>
      </w:pPr>
      <w:r>
        <w:t>第 5 页｜棱镜适配：改变光路，辅助视觉补偿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31 秒  ·  1:25—1:56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对部分同向偏盲患者，可评估周边局部压贴棱镜。布局示意保留中央观看区，借助光路偏移提示缺损侧的部分信息。适配需要试戴，按需裁剪、定位，结合眼头扫描、障碍回避等适应训练，再复评使用表现与舒适度。它提供视觉补偿，不修复缺损。下面看中心视力受损的另一条路径。</w:t>
      </w:r>
    </w:p>
    <w:p>
      <w:pPr>
        <w:pStyle w:val="Heading2"/>
      </w:pPr>
      <w:r>
        <w:t>第 6 页｜PRL训练：优化注视位点，延续居家康复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34 秒  ·  1:56—2:30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偏心注视训练先评估原发病状态、残余功能和注视稳定性。原有注视位点合适时，可保留位置、强化稳定性；需要调整时，再个体化选择训练位点。院内通过微视野评估及生物反馈指导训练，居家按方案延续视知觉和日常任务练习。居家端不能替代设备级评估，后续仍需复评调整。目标是更好利用残余功能。</w:t>
      </w:r>
    </w:p>
    <w:p>
      <w:pPr>
        <w:pStyle w:val="Heading2"/>
      </w:pPr>
      <w:r>
        <w:t>第 7 页｜数字化如何连接院内外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20 秒  ·  2:30—2:50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数字化把三端连起来：市级中心精细评估、制定方案和复评；基层筛查、转诊和随访；家庭按方案训练并反馈。动态档案贯穿检查、方案、训练记录，支持接续服务与复评调整。接下来，看已有进展。</w:t>
      </w:r>
    </w:p>
    <w:p>
      <w:pPr>
        <w:pStyle w:val="Heading2"/>
      </w:pPr>
      <w:r>
        <w:t>第 8 页｜助残成效：已有进展与预期获益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23 秒  ·  2:50—3:13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申报材料列示的进展，包括形成标准化路径、联动市县点位试点。更好利用残余视功能、改善日常活动是预期获益，尚缺量化数据验证。后续计划结合注视稳定性、阅读任务和日常活动进行评价。下面用一条服务路径说明。</w:t>
      </w:r>
    </w:p>
    <w:p>
      <w:pPr>
        <w:pStyle w:val="Heading1"/>
        <w:pageBreakBefore/>
      </w:pPr>
      <w:r>
        <w:t>第三部分｜应用案例、推广计划与收束</w:t>
      </w:r>
    </w:p>
    <w:p>
      <w:pPr>
        <w:pStyle w:val="Heading2"/>
      </w:pPr>
      <w:r>
        <w:t>第 9 页｜应用案例：中心视力受损人群服务路径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22 秒  ·  3:13—3:35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这一页是中心视力受损人群的服务路径示意，非真实患者疗效案例。基层发现需求后转至专科，评估后形成档案、个体方案和训练指导；居家按方案练习，复评后再调整。各环节交付明确，具体方案由医生个体化制定。</w:t>
      </w:r>
    </w:p>
    <w:p>
      <w:pPr>
        <w:pStyle w:val="Heading2"/>
      </w:pPr>
      <w:r>
        <w:t>第 10 页｜应用基础：以现有临床能力支撑市县试点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20 秒  ·  3:35—3:55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牵头医院具备多模态检查设备、人工智能分析和专科诊疗基础。联合三峡职业技术学院附属医院的社区筛查与棱镜验配经验，依托医联体开展双向转诊。市级与基层各有分工，支撑连续服务。</w:t>
      </w:r>
    </w:p>
    <w:p>
      <w:pPr>
        <w:pStyle w:val="Heading2"/>
      </w:pPr>
      <w:r>
        <w:t>第 11 页｜推广计划：示范点—规范化—县域复制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25 秒  ·  3:55—4:20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推广分三步：先在示范点明确职责与流程，验证服务衔接；再统一规范、基层培训与质量控制；最后根据验证结果和当地能力，逐步扩展县域。后续将关注转诊、助视器使用、训练完成、视功能及日常活动变化，用真实数据评估服务质量和实际获益。</w:t>
      </w:r>
    </w:p>
    <w:p>
      <w:pPr>
        <w:pStyle w:val="Heading2"/>
      </w:pPr>
      <w:r>
        <w:t>第 12 页｜让康复离患者更近一步</w:t>
      </w:r>
    </w:p>
    <w:p>
      <w:r>
        <w:rPr>
          <w:rFonts w:ascii="Noto Sans CJK SC" w:hAnsi="Noto Sans CJK SC" w:eastAsia="Noto Sans CJK SC"/>
          <w:b/>
          <w:color w:val="007F78"/>
          <w:sz w:val="18"/>
        </w:rPr>
        <w:t>建议 15 秒  ·  4:20—4:35</w:t>
      </w:r>
    </w:p>
    <w:p>
      <w:r>
        <w:rPr>
          <w:rFonts w:ascii="Noto Sans CJK SC" w:hAnsi="Noto Sans CJK SC" w:eastAsia="Noto Sans CJK SC"/>
          <w:b w:val="0"/>
          <w:color w:val="14364B"/>
          <w:sz w:val="23"/>
        </w:rPr>
        <w:t>让患者更早被发现，让康复方案适合个人，让居家训练有指导、有跟进。我们期待用临床技术和数字化协作，让康复离县域低视力患者更近。谢谢各位评委！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vAlign w:val="center"/>
            <w:shd w:fill="E0EEEA"/>
          </w:tcPr>
          <w:p>
            <w:pPr>
              <w:spacing w:line="324" w:lineRule="auto"/>
            </w:pPr>
            <w:r>
              <w:rPr>
                <w:rFonts w:ascii="Noto Sans CJK SC" w:hAnsi="Noto Sans CJK SC" w:eastAsia="Noto Sans CJK SC"/>
                <w:color w:val="007F78"/>
                <w:sz w:val="22"/>
              </w:rPr>
              <w:t>节奏提醒：结束后停留在第 12 页。3 分钟答辩不需要主动讲完备用页，先直接回应评委的问题，再按需翻到对应页面。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评审问答参考｜技术、进展与成效</w:t>
      </w:r>
    </w:p>
    <w:p>
      <w:r>
        <w:rPr>
          <w:rFonts w:ascii="Noto Sans CJK SC" w:hAnsi="Noto Sans CJK SC" w:eastAsia="Noto Sans CJK SC"/>
          <w:b w:val="0"/>
          <w:color w:val="526978"/>
          <w:sz w:val="20"/>
        </w:rPr>
        <w:t>以下为备选问题，每题参考回答约 30—45 秒。现场择题回应，不连续背诵全部答案。</w:t>
      </w:r>
    </w:p>
    <w:p>
      <w:pPr>
        <w:pStyle w:val="Heading2"/>
      </w:pPr>
      <w:r>
        <w:t>Q1  人工智能能否直接判断卒中、阿尔茨海默症等疾病？</w:t>
      </w:r>
    </w:p>
    <w:p>
      <w:r>
        <w:rPr>
          <w:rFonts w:ascii="Noto Sans CJK SC" w:hAnsi="Noto Sans CJK SC" w:eastAsia="Noto Sans CJK SC"/>
          <w:b w:val="0"/>
          <w:color w:val="14364B"/>
          <w:sz w:val="22"/>
        </w:rPr>
        <w:t>项目中，人工智能承担的是眼部影像辅助分析与风险提示，相关结果需要结合病史和临床检查，由医生决定进一步评估、会诊或转诊。申报书没有提供模型在这些全身疾病上的验证样本、灵敏度和特异度，因此目前不把它表述为独立诊断工具。后续需要按具体疾病、具体适用人群分别开展验证，明确使用范围与转诊条件。</w:t>
      </w:r>
    </w:p>
    <w:p>
      <w:pPr>
        <w:pStyle w:val="Heading2"/>
      </w:pPr>
      <w:r>
        <w:t>Q2  项目现在做到哪一步？有没有证明有效的数据？</w:t>
      </w:r>
    </w:p>
    <w:p>
      <w:r>
        <w:rPr>
          <w:rFonts w:ascii="Noto Sans CJK SC" w:hAnsi="Noto Sans CJK SC" w:eastAsia="Noto Sans CJK SC"/>
          <w:b w:val="0"/>
          <w:color w:val="14364B"/>
          <w:sz w:val="22"/>
        </w:rPr>
        <w:t>依据申报书，项目已形成标准化操作流程，具备相关检查设备、人工智能分析条件及医联体协作基础，并联动市县点位开展试点。材料尚未提供入组人数、训练完成率、前后对照或生活能力改善数据，因此当前可确认的是服务路径和实施基础。下一步将统一收集基线、干预和随访资料，用真实世界数据评价康复效果。</w:t>
      </w:r>
    </w:p>
    <w:p>
      <w:pPr>
        <w:pStyle w:val="Heading2"/>
      </w:pPr>
      <w:r>
        <w:t>Q3  如何评价康复效果，避免只统计服务人数？</w:t>
      </w:r>
    </w:p>
    <w:p>
      <w:r>
        <w:rPr>
          <w:rFonts w:ascii="Noto Sans CJK SC" w:hAnsi="Noto Sans CJK SC" w:eastAsia="Noto Sans CJK SC"/>
          <w:b w:val="0"/>
          <w:color w:val="14364B"/>
          <w:sz w:val="22"/>
        </w:rPr>
        <w:t>后续评价建议同时覆盖服务衔接、训练过程和康复结果。过程关注转诊随访、助视器使用和训练完成；结果根据患者情况评估注视稳定性、阅读等视觉任务及日常生活能力。具体工具、复评时点和分层标准还需统一制定，报告时也应保留失访与未完成情况。外部文献解读可启发评价设计，不能代替本项目的实际验证数据。</w:t>
      </w:r>
    </w:p>
    <w:p>
      <w:pPr>
        <w:pStyle w:val="Heading1"/>
        <w:pageBreakBefore/>
      </w:pPr>
      <w:r>
        <w:t>评审问答参考｜基层、合规与PRL</w:t>
      </w:r>
    </w:p>
    <w:p>
      <w:r>
        <w:rPr>
          <w:rFonts w:ascii="Noto Sans CJK SC" w:hAnsi="Noto Sans CJK SC" w:eastAsia="Noto Sans CJK SC"/>
          <w:b w:val="0"/>
          <w:color w:val="526978"/>
          <w:sz w:val="20"/>
        </w:rPr>
        <w:t>以下为备选问题，每题参考回答约 30—45 秒。现场择题回应，不连续背诵全部答案。</w:t>
      </w:r>
    </w:p>
    <w:p>
      <w:pPr>
        <w:pStyle w:val="Heading2"/>
      </w:pPr>
      <w:r>
        <w:t>Q4  基层缺少设备和专业人员，如何落地？</w:t>
      </w:r>
    </w:p>
    <w:p>
      <w:r>
        <w:rPr>
          <w:rFonts w:ascii="Noto Sans CJK SC" w:hAnsi="Noto Sans CJK SC" w:eastAsia="Noto Sans CJK SC"/>
          <w:b w:val="0"/>
          <w:color w:val="14364B"/>
          <w:sz w:val="22"/>
        </w:rPr>
        <w:t>项目采用市级中心与基层分工。复杂检查、个体方案及专业训练指导依托市级眼科中心；县域、社区承担适合当地能力的筛查、转诊和随访。推广前应梳理设备与人员，明确职责、转诊条件和复评安排，并开展培训和质量控制。服务收费、单人成本及平台维护投入，申报材料尚未给出核算结果，需要在试点中进一步测算。</w:t>
      </w:r>
    </w:p>
    <w:p>
      <w:pPr>
        <w:pStyle w:val="Heading2"/>
      </w:pPr>
      <w:r>
        <w:t>Q5  如何保护患者信息，并确保路演不涉密、不侵权？</w:t>
      </w:r>
    </w:p>
    <w:p>
      <w:r>
        <w:rPr>
          <w:rFonts w:ascii="Noto Sans CJK SC" w:hAnsi="Noto Sans CJK SC" w:eastAsia="Noto Sans CJK SC"/>
          <w:b w:val="0"/>
          <w:color w:val="14364B"/>
          <w:sz w:val="22"/>
        </w:rPr>
        <w:t>本次路演采用服务路径示意，不展示涉密材料、可识别的患者资料或未授权素材。申报书未展开数据安全制度，扩大应用前还需补齐知情告知、分角色权限、操作留痕，以及数据保存和共享规则。人工智能训练、科研或公开展示所用资料，需要按用途完成相应审查和授权。现阶段将这些作为后续制度建设要求，不宣称已经全部完成。</w:t>
      </w:r>
    </w:p>
    <w:p>
      <w:pPr>
        <w:pStyle w:val="Heading2"/>
      </w:pPr>
      <w:r>
        <w:t>Q6  PRL训练为什么不一定要移位？居家训练能否替代院内训练？</w:t>
      </w:r>
    </w:p>
    <w:p>
      <w:r>
        <w:rPr>
          <w:rFonts w:ascii="Noto Sans CJK SC" w:hAnsi="Noto Sans CJK SC" w:eastAsia="Noto Sans CJK SC"/>
          <w:b w:val="0"/>
          <w:color w:val="14364B"/>
          <w:sz w:val="22"/>
        </w:rPr>
        <w:t>要根据微视野和注视状态个体化判断。原有优选注视位点位置合适、只是固视不稳时，可以保留位置并强化稳定性；需要调整时，才选择更合适的训练位点。院内微视野评估和设备生物反馈承担专业定位与指导，居家端按方案延续视知觉和日常任务练习，不能替代设备级评估与复评。第10、12篇提供的是共识转述，原始全文尚未独立核对，不把其中疗程数字直接当作本项目统一方案。</w:t>
      </w:r>
    </w:p>
    <w:p>
      <w:pPr>
        <w:pStyle w:val="Heading2"/>
      </w:pPr>
      <w:r>
        <w:t>提交前核对</w:t>
      </w:r>
    </w:p>
    <w:p>
      <w:r>
        <w:rPr>
          <w:rFonts w:ascii="Noto Sans CJK SC" w:hAnsi="Noto Sans CJK SC" w:eastAsia="Noto Sans CJK SC"/>
          <w:b w:val="0"/>
          <w:color w:val="526978"/>
          <w:sz w:val="20"/>
        </w:rPr>
        <w:t>收件邮箱：1743712238@qq.com</w:t>
        <w:br/>
        <w:t>邮件标题：低视力康复数字化服务项目 聂圣琼</w:t>
        <w:br/>
        <w:t>路演人员：聂圣琼（已同步至 PPT 封面）。</w:t>
        <w:br/>
        <w:t>通知写明 10 月 19 日 17:30 截止，请向组委会核实最新提交安排。</w:t>
      </w:r>
    </w:p>
    <w:p>
      <w:r>
        <w:rPr>
          <w:rFonts w:ascii="Noto Sans CJK SC" w:hAnsi="Noto Sans CJK SC" w:eastAsia="Noto Sans CJK SC"/>
          <w:b w:val="0"/>
          <w:color w:val="526978"/>
          <w:sz w:val="18"/>
        </w:rPr>
        <w:t>项目进展和协作资源据用户提供的申报书；技术机制与评价思路结合本轮已读的11篇公众号。案例仍为服务路径示意，预期获益需验证。棱镜和PRL配图为原创机制示意，不采用他院可识别患者照片或前后疗效图；未添加未经支持的人数、改善率、收费或知识产权成果。第5篇为视频型，未取得文字正文；第13篇受到匿名额度限制，未读内容不作依据。</w:t>
      </w:r>
    </w:p>
    <w:p>
      <w:pPr>
        <w:pStyle w:val="Heading1"/>
        <w:pageBreakBefore/>
      </w:pPr>
      <w:r>
        <w:t>参考资料与阅读状态</w:t>
      </w:r>
    </w:p>
    <w:p>
      <w:r>
        <w:rPr>
          <w:rFonts w:ascii="Noto Sans CJK SC" w:hAnsi="Noto Sans CJK SC" w:eastAsia="Noto Sans CJK SC"/>
          <w:b w:val="0"/>
          <w:color w:val="526978"/>
          <w:sz w:val="20"/>
        </w:rPr>
        <w:t>以下为本轮实际读到的公众号全文，不等于已独立核对其中每项原始研究。第10、12篇转述的2023年专家共识尚未核对原始全文；具体处方、疗程和效果数字不直接采用。</w:t>
      </w:r>
    </w:p>
    <w:p>
      <w:pPr>
        <w:pStyle w:val="Heading2"/>
      </w:pPr>
      <w:r>
        <w:t>[01] 感官功能预警阿尔茨海默病——山东省立医院杜怡峰/张清华团队MIND-China队列感官标志物研究进展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神经时讯｜2026-06-23 19:00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眼部影像与脑健康风险的研究线索；不作诊断效能证明。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https://mp.weixin.qq.com/s/XsQVJoiQ8shDhU7Mbv2OPg</w:t>
      </w:r>
    </w:p>
    <w:p>
      <w:pPr>
        <w:pStyle w:val="Heading2"/>
      </w:pPr>
      <w:r>
        <w:t>[02] 给大脑装个“视觉引擎”！这个门诊专治“看不清”难题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温医大眼视光｜2026-04-09 17:19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外院个体化视觉康复与跨学科服务的参考。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https://mp.weixin.qq.com/s/f9hdLs2ldjHgr4LEbnPN-g</w:t>
      </w:r>
    </w:p>
    <w:p>
      <w:pPr>
        <w:pStyle w:val="Heading2"/>
      </w:pPr>
      <w:r>
        <w:t>[03] 同向偏盲的棱镜应用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眼视光随笔｜2025-11-21 20:27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部分同向偏盲棱镜及使用适应训练。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https://mp.weixin.qq.com/s/ha5JLUxbzacx3OAx8dBomA</w:t>
      </w:r>
    </w:p>
    <w:p>
      <w:pPr>
        <w:pStyle w:val="Heading2"/>
      </w:pPr>
      <w:r>
        <w:t>[04] 【身边的事】棱镜点亮“缺失的视野”：一场针对偏盲青年的视觉重建之旅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天津市眼科医院视光中心｜2025-11-19 13:54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外院局部压贴棱镜个体化试戴、裁剪和复评流程。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https://mp.weixin.qq.com/s/7TtFZUrayLLNq3q9mYo5zQ</w:t>
      </w:r>
    </w:p>
    <w:p>
      <w:pPr>
        <w:pStyle w:val="Heading2"/>
      </w:pPr>
      <w:r>
        <w:t>[06] EYE·科普丨助视器——低视力者的“水晶球”和“魔法眼镜”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温医大眼视光｜2021-02-25 16:00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按生活任务选择辅具并配合使用训练。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https://mp.weixin.qq.com/s/iGbtfIhat8kIfSJ5kJP6gA</w:t>
      </w:r>
    </w:p>
    <w:p>
      <w:pPr>
        <w:pStyle w:val="Heading2"/>
      </w:pPr>
      <w:r>
        <w:t>[07] 我们该如何帮助低视力患者，让他们获得更好的生活质量，建议看看这篇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湖北辅具服务｜2017-12-22 13:49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辅具、使用训练、环境调整的综合康复思路。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https://mp.weixin.qq.com/s/28SQoeTnZdtQx2jzU4IS6w</w:t>
      </w:r>
    </w:p>
    <w:p>
      <w:pPr>
        <w:pStyle w:val="Heading2"/>
      </w:pPr>
      <w:r>
        <w:t>[08] 『微视野MP-3』—— 量化黄斑功能，从诊到治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展鑫优视｜2024-03-22 16:00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微视野与注视反馈机制；设备宣传及案例不作项目疗效。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https://mp.weixin.qq.com/s/nnqV8ECJIYENdZu0O4FYDg</w:t>
      </w:r>
    </w:p>
    <w:p>
      <w:pPr>
        <w:pStyle w:val="Heading2"/>
      </w:pPr>
      <w:r>
        <w:t>[09] 最新眼底文献速递 | 视力没变不等于治疗无效？微视野+AI预测模型，打破临床评估局限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朗视界沐光明｜2026-07-27 17:00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多维功能评价思路；药物和预测模型结果不移用。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https://mp.weixin.qq.com/s/PtFYuOxikFMKxPro-ZNYiw</w:t>
      </w:r>
    </w:p>
    <w:p>
      <w:pPr>
        <w:pStyle w:val="Heading2"/>
      </w:pPr>
      <w:r>
        <w:t>[10] 黄斑病变低视力患者优选视网膜区域PRL训练操作步骤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康复服务区｜2024-09-03 23:13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保留或优化PRL、分阶段训练与复评。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https://mp.weixin.qq.com/s/uu01kImoPlm2NuaCT9gODg</w:t>
      </w:r>
    </w:p>
    <w:p>
      <w:pPr>
        <w:pStyle w:val="Heading2"/>
      </w:pPr>
      <w:r>
        <w:t>[11] 关于低视力康复训练的疑问，一次帮您解答！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上海臻视眼科｜2025-04-17 11:54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个体化低视力康复与复评的科普参考。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https://mp.weixin.qq.com/s/GF-hW2j51aboOHMEwrx2cw</w:t>
      </w:r>
    </w:p>
    <w:p>
      <w:pPr>
        <w:pStyle w:val="Heading2"/>
      </w:pPr>
      <w:r>
        <w:t>[12] 黄斑病变低视力患者康复训练</w:t>
      </w:r>
    </w:p>
    <w:p>
      <w:r>
        <w:rPr>
          <w:rFonts w:ascii="Noto Sans CJK SC" w:hAnsi="Noto Sans CJK SC" w:eastAsia="Noto Sans CJK SC"/>
          <w:b w:val="0"/>
          <w:color w:val="007F78"/>
          <w:sz w:val="18"/>
        </w:rPr>
        <w:t>康复服务区｜2024-04-05 07:35</w:t>
      </w:r>
    </w:p>
    <w:p>
      <w:r>
        <w:rPr>
          <w:rFonts w:ascii="Noto Sans CJK SC" w:hAnsi="Noto Sans CJK SC" w:eastAsia="Noto Sans CJK SC"/>
          <w:b w:val="0"/>
          <w:color w:val="14364B"/>
          <w:sz w:val="20"/>
        </w:rPr>
        <w:t>注视、阅读和生活质量评价及日常任务延续。</w:t>
      </w:r>
    </w:p>
    <w:p>
      <w:r>
        <w:rPr>
          <w:rFonts w:ascii="Noto Sans CJK SC" w:hAnsi="Noto Sans CJK SC" w:eastAsia="Noto Sans CJK SC"/>
          <w:b w:val="0"/>
          <w:color w:val="526978"/>
          <w:sz w:val="16"/>
        </w:rPr>
        <w:t>https://mp.weixin.qq.com/s/a_kix1Bqzpgm4OEm45bPbA</w:t>
      </w:r>
    </w:p>
    <w:p>
      <w:r>
        <w:rPr>
          <w:rFonts w:ascii="Noto Sans CJK SC" w:hAnsi="Noto Sans CJK SC" w:eastAsia="Noto Sans CJK SC"/>
          <w:b w:val="0"/>
          <w:color w:val="526978"/>
          <w:sz w:val="18"/>
        </w:rPr>
        <w:t>未纳入正文：[05] 视频型文章，服务返回video_only_article；[13] 服务返回429 rate_limited，缓存读取也未成功。正文读取与配图查看分开记录；并未下载和逐一查看所有图片链接。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62" w:bottom="964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26978"/>
        <w:sz w:val="16"/>
      </w:rPr>
      <w:t xml:space="preserve">低视力康复数字化服务项目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color w:val="526978"/>
        <w:sz w:val="18"/>
      </w:rPr>
      <w:t>湖北省助残科技创新应用大赛  /  路演配套材料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color w:val="14364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6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36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436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14364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