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小柳－原田病（VKH）相关葡萄膜炎门诊病历</w:t>
      </w:r>
    </w:p>
    <w:p>
      <w:r>
        <w:t>可编辑模板｜待填写、待医师审核｜不是已完成的患者病历或处方</w:t>
      </w:r>
    </w:p>
    <w:p>
      <w:r>
        <w:t>姓名：________    性别：____    年龄：____    门诊号：____________</w:t>
      </w:r>
    </w:p>
    <w:p>
      <w:r>
        <w:t>就诊日期：____________    接诊医师：____________</w:t>
      </w:r>
    </w:p>
    <w:p>
      <w:pPr>
        <w:pStyle w:val="Heading1"/>
      </w:pPr>
      <w:r>
        <w:t>主诉</w:t>
      </w:r>
    </w:p>
    <w:p>
      <w:r>
        <w:t>[右眼/左眼/双眼]视物模糊伴[视物变形/眼红/眼痛/畏光/其他____][____]。</w:t>
      </w:r>
    </w:p>
    <w:p>
      <w:pPr>
        <w:pStyle w:val="Heading1"/>
      </w:pPr>
      <w:r>
        <w:t>现病史</w:t>
      </w:r>
    </w:p>
    <w:p>
      <w:r>
        <w:t>患者于[____]前出现[右眼/左眼/双眼]视物模糊，起病[急/缓]，症状变化[____]；双眼起病先后及间隔[____]。伴眼红、眼痛、畏光、飞蚊、视物变形或视野遮挡情况：[____]。发病前后头痛、颈项不适、耳鸣、听力变化、眩晕等：[____]。皮肤色素变化、白发、脱发及出现时间：[____]。既往类似发作、确诊及复发情况：[____]。既往局部/全身激素、免疫调节或其他治疗的药名、起止时间、剂量、减量过程、疗效及不良反应：[____]。</w:t>
      </w:r>
    </w:p>
    <w:p>
      <w:pPr>
        <w:pStyle w:val="Heading1"/>
      </w:pPr>
      <w:r>
        <w:t>既往史</w:t>
      </w:r>
    </w:p>
    <w:p>
      <w:r>
        <w:t>眼外伤，尤其穿通性眼外伤及眼内手术史：[____]。既往葡萄膜炎及其他眼病：[____]。感染相关病史及风险、自身免疫性疾病、糖尿病、高血压、肝肾疾病等：[____]。当前全身及眼部用药：[____]。妊娠、备孕或哺乳情况（适用时）：[____]。</w:t>
      </w:r>
    </w:p>
    <w:p>
      <w:pPr>
        <w:pStyle w:val="Heading1"/>
      </w:pPr>
      <w:r>
        <w:t>过敏史</w:t>
      </w:r>
    </w:p>
    <w:p>
      <w:r>
        <w:t>药物过敏：[已询问且无已知药物过敏/有：药名、反应及严重程度____/不详/未询问]。其他过敏史：[____]。</w:t>
      </w:r>
    </w:p>
    <w:p>
      <w:pPr>
        <w:pStyle w:val="Heading1"/>
      </w:pPr>
      <w:r>
        <w:t>眼科查体</w:t>
      </w:r>
    </w:p>
    <w:p>
      <w:r>
        <w:t>视力：VOD[____]，VOS[____]；最佳矫正视力：右眼[____]，左眼[____]。</w:t>
      </w:r>
    </w:p>
    <w:p>
      <w:r>
        <w:t>眼压：右眼[____] mmHg，左眼[____] mmHg；测量方法及时间：[____]。</w:t>
      </w:r>
    </w:p>
    <w:p>
      <w:r>
        <w:t>右眼/左眼分别记录：结膜充血、角膜后沉着物的形态及分布、前房细胞/闪辉及所用分级、前房积脓、瞳孔大小/形态、虹膜后粘连、晶状体及玻璃体炎症：[____]。</w:t>
      </w:r>
    </w:p>
    <w:p>
      <w:r>
        <w:t>散瞳是否适宜、是否完成及眼底可视范围：[____]。未查项目明确标注，不默认正常。</w:t>
      </w:r>
    </w:p>
    <w:p>
      <w:pPr>
        <w:pStyle w:val="Heading1"/>
      </w:pPr>
      <w:r>
        <w:t>眼底描述示例（须按实际检查修改）</w:t>
      </w:r>
    </w:p>
    <w:p>
      <w:r>
        <w:t>【急性期眼底示例，不代表所有患者均有以下体征】</w:t>
      </w:r>
    </w:p>
    <w:p>
      <w:r>
        <w:t>视盘充血、边界欠清；后极部视网膜可见多灶性浅层隆起，部分融合形成浆液性视网膜脱离，黄斑中心凹反光减弱或消失，可见脉络膜炎症相关改变。病变范围、黄斑受累及双眼差异：[____]。</w:t>
      </w:r>
    </w:p>
    <w:p>
      <w:r>
        <w:t>右眼实际所见：[____]。</w:t>
      </w:r>
    </w:p>
    <w:p>
      <w:r>
        <w:t>左眼实际所见：[____]。</w:t>
      </w:r>
    </w:p>
    <w:p>
      <w:r>
        <w:t>【恢复期或慢性复发期记录项】眼底脱色素呈晚霞样改变、色素紊乱、脉络膜视网膜萎缩灶、复发性前节炎症及并发症：[按病程和实际检查填写____]。急性期示例和晚期体征不能无区别地全部复制。</w:t>
      </w:r>
    </w:p>
    <w:p>
      <w:pPr>
        <w:pStyle w:val="Heading1"/>
      </w:pPr>
      <w:r>
        <w:t>辅助检查</w:t>
      </w:r>
    </w:p>
    <w:p>
      <w:r>
        <w:t>1. 黄斑OCT：右眼[____]，左眼[____]；记录视网膜下液、浆液性脱离、视网膜内改变、分隔及外层视网膜结构，便于前后比较。</w:t>
      </w:r>
    </w:p>
    <w:p>
      <w:r>
        <w:t>2. EDI-OCT或其他脉络膜评估（按需要）：记录脉络膜厚度、结构及变化：[____]。</w:t>
      </w:r>
    </w:p>
    <w:p>
      <w:r>
        <w:t>3. 眼底照相、FA/ICGA（按指征）：记录点状渗漏、视网膜下液池、视盘渗漏及脉络膜异常等实际结果：[____]。</w:t>
      </w:r>
    </w:p>
    <w:p>
      <w:r>
        <w:t>4. 眼底观察受限时按需要记录眼部B超及结果：[____]。</w:t>
      </w:r>
    </w:p>
    <w:p>
      <w:r>
        <w:t>5. 根据病史进行针对性感染及其他病因排查：[____]；不把未经核实的感染标为已排除。</w:t>
      </w:r>
    </w:p>
    <w:p>
      <w:r>
        <w:t>6. 有相关症状时记录耳鼻喉科、神经科等评估：[____]；腰穿不作为所有患者的常规默认检查。</w:t>
      </w:r>
    </w:p>
    <w:p>
      <w:r>
        <w:t>7. 拟全身免疫治疗时，记录相应血常规、肝肾功能、血糖血压及感染筛查等基线和监测安排：[____]。</w:t>
      </w:r>
    </w:p>
    <w:p>
      <w:pPr>
        <w:pStyle w:val="Heading1"/>
      </w:pPr>
      <w:r>
        <w:t>临床评估及诊断</w:t>
      </w:r>
    </w:p>
    <w:p>
      <w:r>
        <w:t>1. [右眼/左眼/双眼]葡萄膜炎；解剖分型[____]，活动度[____]。</w:t>
      </w:r>
    </w:p>
    <w:p>
      <w:r>
        <w:t>2. 小柳－原田病（VKH）：[考虑/已确诊/待进一步评估]；病程阶段[初发急性/恢复/慢性复发/待定]；诊断依据及采用的标准：[____]。</w:t>
      </w:r>
    </w:p>
    <w:p>
      <w:r>
        <w:t>3. 浆液性视网膜脱离、黄斑受累及其他并发症：[____]。</w:t>
      </w:r>
    </w:p>
    <w:p>
      <w:r>
        <w:t>鉴别诊断及尚未解决问题：[____]，包括根据情况鉴别交感性眼炎、后巩膜炎及感染等。不能仅凭单一OCT表现确诊VKH；无皮肤或听觉表现也不能单独排除早期VKH。</w:t>
      </w:r>
    </w:p>
    <w:p>
      <w:pPr>
        <w:pStyle w:val="Heading1"/>
      </w:pPr>
      <w:r>
        <w:t>治疗及处理</w:t>
      </w:r>
    </w:p>
    <w:p>
      <w:r>
        <w:t>1. 由葡萄膜炎/眼底专科评估是否为威胁视力的活动期，记录本次紧急处理及转诊安排：[____]。</w:t>
      </w:r>
    </w:p>
    <w:p>
      <w:r>
        <w:t>2. 根据病因排查、炎症范围和严重程度，由专科决定全身抗炎及是否联合免疫调节治疗：[____]。存在后节炎症或浆液性视网膜脱离时，不能仅以常规滴眼液替代所需的全身评估和治疗。</w:t>
      </w:r>
    </w:p>
    <w:p>
      <w:r>
        <w:t>3. 伴前节炎症时，局部抗炎和睫状肌麻痹等治疗由医师按实际情况选择：[____]。</w:t>
      </w:r>
    </w:p>
    <w:p>
      <w:r>
        <w:t>4. 处方记录：药物通用名[____]；给药途径[____]；每次剂量[____]；频次[____]；疗程和减量节点[____]；眼别（如适用）[____]。</w:t>
      </w:r>
    </w:p>
    <w:p>
      <w:r>
        <w:t>5. 记录感染、眼压、血糖血压和其他药物风险监测，以及相关专科协作：[____]。具体药物和剂量不作为模板默认值。</w:t>
      </w:r>
    </w:p>
    <w:p>
      <w:pPr>
        <w:pStyle w:val="Heading1"/>
      </w:pPr>
      <w:r>
        <w:t>注意事项及复诊</w:t>
      </w:r>
    </w:p>
    <w:p>
      <w:r>
        <w:t>1. 本病可能复发，恢复和炎症控制需要时间；用药后视力不一定立即恢复。症状减轻不等于炎症完全控制，应结合查体和影像随访。</w:t>
      </w:r>
    </w:p>
    <w:p>
      <w:r>
        <w:t>2. 不自行停用或调整激素、免疫调节药物；减量需由医师按病情决定。</w:t>
      </w:r>
    </w:p>
    <w:p>
      <w:r>
        <w:t>3. 视力明显下降、视物变形或视野遮挡加重，明显眼痛、畏光或其他新发症状，应及时就医，不等待预约日期。</w:t>
      </w:r>
    </w:p>
    <w:p>
      <w:r>
        <w:t>4. 系统治疗期间按要求监测；发热或疑似感染等及时联系治疗团队。</w:t>
      </w:r>
    </w:p>
    <w:p>
      <w:r>
        <w:t>复诊时间：[按活动度、视网膜下液及治疗变化个体化填写____]。复查：视力、前房/玻璃体炎症、眼压、眼底及OCT，必要时复查其他影像和化验。</w:t>
      </w:r>
    </w:p>
    <w:p>
      <w:r>
        <w:t>实际宣教及患者理解情况：[____]。</w:t>
      </w:r>
    </w:p>
    <w:p>
      <w:r>
        <w:t>医师签名：____________    记录日期及时间：________________</w:t>
      </w:r>
    </w:p>
    <w:p>
      <w:pPr>
        <w:pStyle w:val="Heading1"/>
      </w:pPr>
      <w:r>
        <w:t>模板说明（不复制进患者病历）</w:t>
      </w:r>
    </w:p>
    <w:p>
      <w:r>
        <w:t>眼底段落为教学性描述示例，不是实际检查结果；须根据病期、眼别和检查逐项修改。未询问、未检查、不详不得替换为否认、正常或阴性。诊断标准、全身治疗及监测须由相应专科核实。本文尚未经过临床审核，也未完成与当前适用指南逐条核对。</w:t>
      </w:r>
    </w:p>
    <w:p>
      <w:r>
        <w:t>结构参考OpenClaw Medical Skills的SOAP/H&amp;P；事实核对原则参考Scientific Agent Skills。二者不是本病诊疗指南。适用指南/标准及版本：[____]；审核医师及日期：[____]。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小柳－原田病（VKH）相关葡萄膜炎门诊模板｜据实填写，医师审核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小柳－原田病（VKH）相关葡萄膜炎门诊病历模板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