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2"/>
        </w:rPr>
        <w:t>初诊为视网膜血管炎的黄曲霉性眼内炎一例</w:t>
      </w:r>
    </w:p>
    <w:p>
      <w:r>
        <w:rPr>
          <w:rFonts w:ascii="Times New Roman" w:hAnsi="Times New Roman" w:eastAsia="宋体"/>
          <w:sz w:val="24"/>
        </w:rPr>
        <w:t>聂圣琼¹　占宇姝²　靳鹍¹</w:t>
      </w:r>
    </w:p>
    <w:p>
      <w:r>
        <w:rPr>
          <w:rFonts w:ascii="Times New Roman" w:hAnsi="Times New Roman" w:eastAsia="宋体"/>
          <w:sz w:val="24"/>
        </w:rPr>
        <w:t>¹ 宜昌市中心人民医院，</w:t>
      </w:r>
      <w:r>
        <w:rPr>
          <w:rFonts w:ascii="Times New Roman" w:hAnsi="Times New Roman" w:eastAsia="宋体"/>
          <w:color w:val="B22222"/>
          <w:sz w:val="24"/>
        </w:rPr>
        <w:t>[科室、城市及邮政编码待补]</w:t>
      </w:r>
    </w:p>
    <w:p>
      <w:r>
        <w:rPr>
          <w:rFonts w:ascii="Times New Roman" w:hAnsi="Times New Roman" w:eastAsia="宋体"/>
          <w:sz w:val="24"/>
        </w:rPr>
        <w:t>² 三峡职业技术学院附属医院，</w:t>
      </w:r>
      <w:r>
        <w:rPr>
          <w:rFonts w:ascii="Times New Roman" w:hAnsi="Times New Roman" w:eastAsia="宋体"/>
          <w:color w:val="B22222"/>
          <w:sz w:val="24"/>
        </w:rPr>
        <w:t>[科室、城市及邮政编码待补]</w:t>
      </w:r>
    </w:p>
    <w:p>
      <w:r>
        <w:rPr>
          <w:rFonts w:ascii="Times New Roman" w:hAnsi="Times New Roman" w:eastAsia="宋体"/>
          <w:sz w:val="24"/>
        </w:rPr>
        <w:t>第一作者：聂圣琼，Email：</w:t>
      </w:r>
      <w:r>
        <w:rPr>
          <w:rFonts w:ascii="Times New Roman" w:hAnsi="Times New Roman" w:eastAsia="宋体"/>
          <w:color w:val="B22222"/>
          <w:sz w:val="24"/>
        </w:rPr>
        <w:t>[待补]</w:t>
      </w:r>
    </w:p>
    <w:p>
      <w:r>
        <w:rPr>
          <w:rFonts w:ascii="Times New Roman" w:hAnsi="Times New Roman" w:eastAsia="宋体"/>
          <w:sz w:val="24"/>
        </w:rPr>
        <w:t>通信作者：靳鹍，Email：</w:t>
      </w:r>
      <w:r>
        <w:rPr>
          <w:rFonts w:ascii="Times New Roman" w:hAnsi="Times New Roman" w:eastAsia="宋体"/>
          <w:color w:val="B22222"/>
          <w:sz w:val="24"/>
        </w:rPr>
        <w:t>[待补]</w:t>
      </w:r>
    </w:p>
    <w:p>
      <w:r>
        <w:rPr>
          <w:rFonts w:ascii="Times New Roman" w:hAnsi="Times New Roman" w:eastAsia="宋体"/>
          <w:sz w:val="24"/>
        </w:rPr>
        <w:t>文章类型：病例报告。拟投：《中华眼视光学与视觉科学杂志（中英文）》。本稿参照用户提供的该刊2025年病例报告实刊样式编排；现行稿约未完成官网核验。方括号内容为投稿前须解决的作者核实项，不属于正式发表内容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病例资料</w:t>
      </w:r>
    </w:p>
    <w:p>
      <w:r>
        <w:rPr>
          <w:rFonts w:ascii="Times New Roman" w:hAnsi="Times New Roman" w:eastAsia="宋体"/>
          <w:sz w:val="24"/>
        </w:rPr>
        <w:t>患者，男，38岁，因“左眼突发视力下降伴疼痛2 d”于2025年11月24日就诊。就诊前5 d出现咳嗽、发热及乏力，在当地诊所接受抗细菌及退热等治疗后，咳嗽、发热好转。患者否认已知全身基础疾病、长期用药、眼外伤及眼部手术史。初诊视力：右眼1.0，左眼眼前指数；眼压：右眼16 mmHg，左眼17.5 mmHg。右眼眼底未见明显异常。左眼结膜充血、水肿，以颞侧为著；角膜透明，前房清；眼底黄斑区可见黄白色病灶，伴多处视网膜下出血及视网膜水肿。</w:t>
      </w:r>
    </w:p>
    <w:p>
      <w:r>
        <w:rPr>
          <w:rFonts w:ascii="Times New Roman" w:hAnsi="Times New Roman" w:eastAsia="宋体"/>
          <w:sz w:val="24"/>
        </w:rPr>
        <w:t>初诊病历记载，眼部B超提示玻璃体混浊，以左眼炎性改变为著，伴左眼颞侧球壁增厚、视网膜下积液；荧光素眼底血管造影显示左眼早期血管壁着染，后极部及颞侧片状低荧光遮蔽，晚期明显荧光渗漏；黄斑光学相干断层扫描（optical coherence tomography，OCT）提示左眼视网膜脱离累及黄斑，伴内层视网膜水肿。胸部CT提示右下肺含气囊肿，另见肝囊肿，未据此明确眼外真菌感染灶。丙氨酸氨基转移酶（alanine aminotransferase，ALT）为53 U/L。</w:t>
      </w:r>
      <w:r>
        <w:rPr>
          <w:rFonts w:ascii="Times New Roman" w:hAnsi="Times New Roman" w:eastAsia="宋体"/>
          <w:color w:val="B22222"/>
          <w:sz w:val="24"/>
        </w:rPr>
        <w:t>[Q1：请提供11月24日原始影像与检验报告，核实上述记录；稿内现有多张检查图实际日期为12月6日，不能标作初诊图。]</w:t>
      </w:r>
    </w:p>
    <w:p>
      <w:r>
        <w:rPr>
          <w:rFonts w:ascii="Times New Roman" w:hAnsi="Times New Roman" w:eastAsia="宋体"/>
          <w:sz w:val="24"/>
        </w:rPr>
        <w:t>初步诊断为左眼视网膜血管炎。入院次日出现左眼前房闪辉及前房细胞，予静脉更昔洛韦、局部更昔洛韦及妥布霉素地塞米松治疗，并行左眼球旁曲安奈德注射。其后前房反应、玻璃体混浊及结膜水肿一度减轻。建议行眼内液病原学检查，患者及家属当时未接受。11月27日，左眼前房反应及玻璃体混浊再次加重，遂转诊。外院曾行房水送检，记录结果为阴性，但检测项目、方法及采样日期未详；接受左眼玻璃体腔更昔洛韦注射后，病情继续进展。</w:t>
      </w:r>
      <w:r>
        <w:rPr>
          <w:rFonts w:ascii="Times New Roman" w:hAnsi="Times New Roman" w:eastAsia="宋体"/>
          <w:color w:val="B22222"/>
          <w:sz w:val="24"/>
        </w:rPr>
        <w:t>[Q2：核对静脉及眼内更昔洛韦、球旁曲安奈德的剂量、日期，以及房水送检项目。不得用文献常用剂量代替实际医嘱。]</w:t>
      </w:r>
    </w:p>
    <w:p>
      <w:r>
        <w:rPr>
          <w:rFonts w:ascii="Times New Roman" w:hAnsi="Times New Roman" w:eastAsia="宋体"/>
          <w:sz w:val="24"/>
        </w:rPr>
        <w:t>患者随后就诊于另一上级医院。此时右眼视力1.2、眼压22 mmHg，左眼视力0.02、眼压15 mmHg。左眼角膜后可见大量沉着物，前房闪辉阳性，晶状体混浊，玻璃体明显混浊；后极部黄斑旁可见灰白色较大病灶，周围伴多个灰白色卫星病灶。考虑左眼眼内炎及并发性白内障。2025年12月5日行左眼经睫状体平坦部玻璃体切除联合硅油填充术，并留取术中标本送检。12月8日，培养报告检出黄曲霉；病原体靶向捕获下一代测序（targeted capture-based next-generation sequencing，tNGS）检出黄曲霉复合群，报告序列数8 361，相对丰度85.1%。按该报告定义，此相对丰度指相应病原体大类中序列数的比例，本例为真菌类别内的比例。</w:t>
      </w:r>
      <w:r>
        <w:rPr>
          <w:rFonts w:ascii="Times New Roman" w:hAnsi="Times New Roman" w:eastAsia="宋体"/>
          <w:color w:val="B22222"/>
          <w:sz w:val="24"/>
        </w:rPr>
        <w:t>[Q3：培养报告标本类别为“组织”，tNGS报告为“抽吸液”，与原文“玻璃体液”不一致；请核实两份标本的实际解剖来源及是否同一次取样，并补充菌种鉴定方法、药敏和测序质控等可获得资料。]</w:t>
      </w:r>
    </w:p>
    <w:p>
      <w:r>
        <w:rPr>
          <w:rFonts w:ascii="Times New Roman" w:hAnsi="Times New Roman" w:eastAsia="宋体"/>
          <w:sz w:val="24"/>
        </w:rPr>
        <w:t>结合病程及病原学结果，临床诊断为左眼黄曲霉性眼内炎；因发病前无眼外伤或眼部手术史，感染途径倾向内源性，但现有资料尚未明确眼外原发灶。给予伏立康唑口服，每次200 mg，每日2次，并于12月9日行左眼玻璃体腔伏立康唑注射。术后第1天（12月6日）的左眼眼底及黄斑OCT资料拟见图1、2。</w:t>
      </w:r>
      <w:r>
        <w:rPr>
          <w:rFonts w:ascii="Times New Roman" w:hAnsi="Times New Roman" w:eastAsia="宋体"/>
          <w:color w:val="B22222"/>
          <w:sz w:val="24"/>
        </w:rPr>
        <w:t>[Q4：图位尚未插入；须提供去除姓名、编号等信息的原始影像，并由临床作者确认日期、眼别和图注。]</w:t>
      </w:r>
    </w:p>
    <w:p>
      <w:r>
        <w:rPr>
          <w:rFonts w:ascii="Times New Roman" w:hAnsi="Times New Roman" w:eastAsia="宋体"/>
          <w:sz w:val="24"/>
        </w:rPr>
        <w:t>12月24日再次就诊，右眼视力1.2、眼压12 mmHg；左眼眼前指数、眼压9.5 mmHg。左眼结膜充血，前房闪辉（++），玻璃体腔硅油填充；眼底黄斑区视网膜发白、水肿，伴明显出血，下方可见黄白色病灶及视网膜浅脱离。ALT为106 U/L；腹部超声提示轻度脂肪肝及肝囊肿，胸部CT较前大致相仿。当日再次行左眼玻璃体腔伏立康唑注射后出院。</w:t>
      </w:r>
      <w:r>
        <w:rPr>
          <w:rFonts w:ascii="Times New Roman" w:hAnsi="Times New Roman" w:eastAsia="宋体"/>
          <w:color w:val="B22222"/>
          <w:sz w:val="24"/>
        </w:rPr>
        <w:t>[Q5：补充两次及其他可能存在的眼内伏立康唑实际剂量、体积、次数、间隔，口服起止日期、肝功能监测及处理。原稿此日OCT写为“右眼”，与左眼病程不一致，核实前不用于判断左眼黄斑进展。]</w:t>
      </w:r>
    </w:p>
    <w:p>
      <w:r>
        <w:rPr>
          <w:rFonts w:ascii="Times New Roman" w:hAnsi="Times New Roman" w:eastAsia="宋体"/>
          <w:sz w:val="24"/>
        </w:rPr>
        <w:t>现有材料的末次临床记录为2025年12月24日，左眼仍存在前房反应、严重视力损害及视网膜病变，不能据此认定感染已经治愈。</w:t>
      </w:r>
      <w:r>
        <w:rPr>
          <w:rFonts w:ascii="Times New Roman" w:hAnsi="Times New Roman" w:eastAsia="宋体"/>
          <w:color w:val="B22222"/>
          <w:sz w:val="24"/>
        </w:rPr>
        <w:t>[Q6：请补充最近一次随访日期、双眼视力、眼压、炎症及视网膜状态、全身与眼内抗真菌疗程、复发或再次手术情况；如确无后续资料，应如实说明。]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讨论</w:t>
      </w:r>
    </w:p>
    <w:p>
      <w:r>
        <w:rPr>
          <w:rFonts w:ascii="Times New Roman" w:hAnsi="Times New Roman" w:eastAsia="宋体"/>
          <w:sz w:val="24"/>
        </w:rPr>
        <w:t>真菌性眼内炎可造成严重视力损害，临床识别需结合眼部表现、宿主背景及病原学证据。2025年国际共识指出，真菌性眼内炎的后节表现可能较前节明显，局限性乳白色脉络膜视网膜病灶及玻璃体受累具有提示意义</w:t>
      </w:r>
      <w:r>
        <w:rPr>
          <w:rFonts w:ascii="Times New Roman" w:hAnsi="Times New Roman" w:eastAsia="宋体"/>
          <w:sz w:val="24"/>
        </w:rPr>
        <w:t>[1]</w:t>
      </w:r>
      <w:r>
        <w:rPr>
          <w:rFonts w:ascii="Times New Roman" w:hAnsi="Times New Roman" w:eastAsia="宋体"/>
          <w:sz w:val="24"/>
        </w:rPr>
        <w:t>。本例初诊以前房相对清、黄斑区黄白色病灶、出血、视网膜水肿及血管造影异常为主要表现，临床首先考虑视网膜血管炎。血管炎样表现本身不能确定感染或非感染病因；对伴局灶性黄白色病灶、近期发热及进行性玻璃体混浊的患者，应将眼内感染纳入鉴别诊断。诺卡菌眼内炎亦可在临床上被误认为真菌性眼内炎</w:t>
      </w:r>
      <w:r>
        <w:rPr>
          <w:rFonts w:ascii="Times New Roman" w:hAnsi="Times New Roman" w:eastAsia="宋体"/>
          <w:sz w:val="24"/>
        </w:rPr>
        <w:t>[2]</w:t>
      </w:r>
      <w:r>
        <w:rPr>
          <w:rFonts w:ascii="Times New Roman" w:hAnsi="Times New Roman" w:eastAsia="宋体"/>
          <w:sz w:val="24"/>
        </w:rPr>
        <w:t>，提示不能仅凭眼底外观确定病原。</w:t>
      </w:r>
    </w:p>
    <w:p>
      <w:r>
        <w:rPr>
          <w:rFonts w:ascii="Times New Roman" w:hAnsi="Times New Roman" w:eastAsia="宋体"/>
          <w:sz w:val="24"/>
        </w:rPr>
        <w:t>本例在经验性抗病毒及局部、球旁糖皮质激素治疗后炎症一度减轻，随后再次进展。这一经过说明，短暂炎症缓解不能排除感染，但不能据单病例的时间先后关系认定激素导致病情恶化。对感染尚未排除的后段炎症，应持续评估诊断，结合病情尽早讨论取样的必要性与风险，并关注症状改善和病灶变化是否一致。真菌性眼内炎中辅助糖皮质激素治疗仍存在争议，2025年共识并未对眼内地塞米松形成支持性共识</w:t>
      </w:r>
      <w:r>
        <w:rPr>
          <w:rFonts w:ascii="Times New Roman" w:hAnsi="Times New Roman" w:eastAsia="宋体"/>
          <w:sz w:val="24"/>
        </w:rPr>
        <w:t>[1]</w:t>
      </w:r>
      <w:r>
        <w:rPr>
          <w:rFonts w:ascii="Times New Roman" w:hAnsi="Times New Roman" w:eastAsia="宋体"/>
          <w:sz w:val="24"/>
        </w:rPr>
        <w:t>。</w:t>
      </w:r>
    </w:p>
    <w:p>
      <w:r>
        <w:rPr>
          <w:rFonts w:ascii="Times New Roman" w:hAnsi="Times New Roman" w:eastAsia="宋体"/>
          <w:sz w:val="24"/>
        </w:rPr>
        <w:t>病原学方面，培养检出黄曲霉与tNGS检出黄曲霉复合群相符，为本例病原归因提供了互补证据。这里的tNGS为靶向捕获检测，不应改称非靶向宏基因组测序；“黄曲霉复合群”也不等于已完成复合群内隐蔽种的分辨。8 361条序列及85.1%的相对丰度是该检测的报告结果，不能解读为感染概率、病原体绝对负荷或治疗反应指标。样本来源、培养鉴定方法、检测质控及临床病灶的一致性仍需共同评估。外院房水结果仅记为阴性，因缺乏具体检测项目及采样信息，不能据此排除真菌感染。国际共识支持传统微生物学与分子检测在适当情境下互为补充</w:t>
      </w:r>
      <w:r>
        <w:rPr>
          <w:rFonts w:ascii="Times New Roman" w:hAnsi="Times New Roman" w:eastAsia="宋体"/>
          <w:sz w:val="24"/>
        </w:rPr>
        <w:t>[1]</w:t>
      </w:r>
      <w:r>
        <w:rPr>
          <w:rFonts w:ascii="Times New Roman" w:hAnsi="Times New Roman" w:eastAsia="宋体"/>
          <w:sz w:val="24"/>
        </w:rPr>
        <w:t>，本例不构成两种方法敏感度或优越性的比较研究。</w:t>
      </w:r>
    </w:p>
    <w:p>
      <w:r>
        <w:rPr>
          <w:rFonts w:ascii="Times New Roman" w:hAnsi="Times New Roman" w:eastAsia="宋体"/>
          <w:sz w:val="24"/>
        </w:rPr>
        <w:t>感染途径的判断亦须保留证据边界。患者发病前无眼外伤及眼内操作史，使内源性感染成为临床考虑，但发病前咳嗽、发热并不能证明真菌血症或肺源性播散。现有胸部影像所述右下肺含气囊肿不等同于肺曲霉菌病，亦未提供可确认全身感染灶的培养等资料。国内已有肝衰竭合并黄曲霉眼内炎</w:t>
      </w:r>
      <w:r>
        <w:rPr>
          <w:rFonts w:ascii="Times New Roman" w:hAnsi="Times New Roman" w:eastAsia="宋体"/>
          <w:sz w:val="24"/>
        </w:rPr>
        <w:t>[3]</w:t>
      </w:r>
      <w:r>
        <w:rPr>
          <w:rFonts w:ascii="Times New Roman" w:hAnsi="Times New Roman" w:eastAsia="宋体"/>
          <w:sz w:val="24"/>
        </w:rPr>
        <w:t>及肺曲霉菌病合并内源性真菌性眼内炎</w:t>
      </w:r>
      <w:r>
        <w:rPr>
          <w:rFonts w:ascii="Times New Roman" w:hAnsi="Times New Roman" w:eastAsia="宋体"/>
          <w:sz w:val="24"/>
        </w:rPr>
        <w:t>[4]</w:t>
      </w:r>
      <w:r>
        <w:rPr>
          <w:rFonts w:ascii="Times New Roman" w:hAnsi="Times New Roman" w:eastAsia="宋体"/>
          <w:sz w:val="24"/>
        </w:rPr>
        <w:t>报道；本例的报告重点应放在血管炎样初始表现与病原学诊断过程，而非宣称首次报道或“免疫功能正常”。“无已知基础疾病”仅反映现有病史，不代表已完成系统免疫功能评估。</w:t>
      </w:r>
    </w:p>
    <w:p>
      <w:r>
        <w:rPr>
          <w:rFonts w:ascii="Times New Roman" w:hAnsi="Times New Roman" w:eastAsia="宋体"/>
          <w:sz w:val="24"/>
        </w:rPr>
        <w:t>治疗上，玻璃体切除兼具获取诊断标本、清除部分炎性及感染物质和处理并发症的作用；内源性真菌性眼内炎通常需要结合全身及眼内抗真菌治疗</w:t>
      </w:r>
      <w:r>
        <w:rPr>
          <w:rFonts w:ascii="Times New Roman" w:hAnsi="Times New Roman" w:eastAsia="宋体"/>
          <w:sz w:val="24"/>
        </w:rPr>
        <w:t>[1]</w:t>
      </w:r>
      <w:r>
        <w:rPr>
          <w:rFonts w:ascii="Times New Roman" w:hAnsi="Times New Roman" w:eastAsia="宋体"/>
          <w:sz w:val="24"/>
        </w:rPr>
        <w:t>。本例接受玻璃体切除、硅油填充、口服及玻璃体腔伏立康唑治疗，但缺乏完整给药记录和长期随访，不能归因评价某一措施的疗效，也不能将文献常用剂量写成本例实际剂量。尤其在硅油填充状态下，应以原始医嘱核实眼内药物剂量和体积。ALT由53 U/L升至106 U/L，提示应补充用药期间肝功能变化及实际处理；现有信息不足以确定药物性肝损伤。</w:t>
      </w:r>
    </w:p>
    <w:p>
      <w:r>
        <w:rPr>
          <w:rFonts w:ascii="Times New Roman" w:hAnsi="Times New Roman" w:eastAsia="宋体"/>
          <w:sz w:val="24"/>
        </w:rPr>
        <w:t>本报告的局限包括眼外感染源及免疫状态评估不完整、外院阴性检测信息不足、部分样本标注及图像时点待核实、抗真菌治疗记录不全以及随访较短。现有证据支持的临床启示是：黄白色后极部病灶伴血管炎样改变和进行性玻璃体炎时，应保留感染性病因的可能，及时取得并正确解释眼内病原学证据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声明</w:t>
      </w:r>
    </w:p>
    <w:p>
      <w:r>
        <w:rPr>
          <w:rFonts w:ascii="Times New Roman" w:hAnsi="Times New Roman" w:eastAsia="宋体"/>
          <w:sz w:val="24"/>
        </w:rPr>
        <w:t>患者知情同意：已取得患者就本病例及相关图像发表的书面知情同意。</w:t>
      </w:r>
    </w:p>
    <w:p>
      <w:r>
        <w:rPr>
          <w:rFonts w:ascii="Times New Roman" w:hAnsi="Times New Roman" w:eastAsia="宋体"/>
          <w:sz w:val="24"/>
        </w:rPr>
        <w:t>伦理审查：</w:t>
      </w:r>
      <w:r>
        <w:rPr>
          <w:rFonts w:ascii="Times New Roman" w:hAnsi="Times New Roman" w:eastAsia="宋体"/>
          <w:color w:val="B22222"/>
          <w:sz w:val="24"/>
        </w:rPr>
        <w:t>[请按所在医院规定及目标期刊要求填写审批或豁免情况；不得未经确认直接写“无需审批”。]</w:t>
      </w:r>
    </w:p>
    <w:p>
      <w:r>
        <w:rPr>
          <w:rFonts w:ascii="Times New Roman" w:hAnsi="Times New Roman" w:eastAsia="宋体"/>
          <w:sz w:val="24"/>
        </w:rPr>
        <w:t>利益冲突：</w:t>
      </w:r>
      <w:r>
        <w:rPr>
          <w:rFonts w:ascii="Times New Roman" w:hAnsi="Times New Roman" w:eastAsia="宋体"/>
          <w:color w:val="B22222"/>
          <w:sz w:val="24"/>
        </w:rPr>
        <w:t>[请各作者确认并填写；尚不能代填“无”。]</w:t>
      </w:r>
    </w:p>
    <w:p>
      <w:r>
        <w:rPr>
          <w:rFonts w:ascii="Times New Roman" w:hAnsi="Times New Roman" w:eastAsia="宋体"/>
          <w:sz w:val="24"/>
        </w:rPr>
        <w:t>基金项目：</w:t>
      </w:r>
      <w:r>
        <w:rPr>
          <w:rFonts w:ascii="Times New Roman" w:hAnsi="Times New Roman" w:eastAsia="宋体"/>
          <w:color w:val="B22222"/>
          <w:sz w:val="24"/>
        </w:rPr>
        <w:t>[如有，填写基金名称及编号；如无，由作者确认后填写“无”。]</w:t>
      </w:r>
    </w:p>
    <w:p>
      <w:r>
        <w:rPr>
          <w:rFonts w:ascii="Times New Roman" w:hAnsi="Times New Roman" w:eastAsia="宋体"/>
          <w:sz w:val="24"/>
        </w:rPr>
        <w:t>作者贡献：</w:t>
      </w:r>
      <w:r>
        <w:rPr>
          <w:rFonts w:ascii="Times New Roman" w:hAnsi="Times New Roman" w:eastAsia="宋体"/>
          <w:color w:val="B22222"/>
          <w:sz w:val="24"/>
        </w:rPr>
        <w:t>[请按实际贡献分别填写聂圣琼、占宇姝、靳鹍的工作，并确认所有作者符合署名要求、审阅并批准最终稿。]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参考文献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[1]</w:t>
      </w:r>
      <w:r>
        <w:rPr>
          <w:rFonts w:ascii="Times New Roman" w:hAnsi="Times New Roman" w:eastAsia="宋体"/>
          <w:sz w:val="24"/>
        </w:rPr>
        <w:t xml:space="preserve"> Das T, Radke NV, Sallam AB, et al. International consensuses and guidelines on diagnosing and managing fungal endophthalmitis by the Asia-Pacific Vitreo-retina Society (APVRS), the Academy of the Asia-Pacific Professors of Ophthalmology (AAPPO), and the Asia-Pacific Society of Ocular Inflammation and Infection (APSOII)</w:t>
      </w:r>
      <w:r>
        <w:rPr>
          <w:rFonts w:ascii="Times New Roman" w:hAnsi="Times New Roman" w:eastAsia="宋体"/>
          <w:sz w:val="24"/>
        </w:rPr>
        <w:t>[J]</w:t>
      </w:r>
      <w:r>
        <w:rPr>
          <w:rFonts w:ascii="Times New Roman" w:hAnsi="Times New Roman" w:eastAsia="宋体"/>
          <w:sz w:val="24"/>
        </w:rPr>
        <w:t>. Eye Vis (Lond), 2025, 12: 40. DOI:10.1186/s40662-025-00456-y.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[2]</w:t>
      </w:r>
      <w:r>
        <w:rPr>
          <w:rFonts w:ascii="Times New Roman" w:hAnsi="Times New Roman" w:eastAsia="宋体"/>
          <w:sz w:val="24"/>
        </w:rPr>
        <w:t xml:space="preserve"> 周云云, 王睿, 马为梅. 误诊为真菌性眼内炎的诺卡菌眼内炎1例</w:t>
      </w:r>
      <w:r>
        <w:rPr>
          <w:rFonts w:ascii="Times New Roman" w:hAnsi="Times New Roman" w:eastAsia="宋体"/>
          <w:sz w:val="24"/>
        </w:rPr>
        <w:t>[DB/OL]</w:t>
      </w:r>
      <w:r>
        <w:rPr>
          <w:rFonts w:ascii="Times New Roman" w:hAnsi="Times New Roman" w:eastAsia="宋体"/>
          <w:sz w:val="24"/>
        </w:rPr>
        <w:t>. 中国临床案例成果数据库, 2025, 7（2025-08-15）. DOI:10.3760/cma.j.cmcr20250703-02667.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[3]</w:t>
      </w:r>
      <w:r>
        <w:rPr>
          <w:rFonts w:ascii="Times New Roman" w:hAnsi="Times New Roman" w:eastAsia="宋体"/>
          <w:sz w:val="24"/>
        </w:rPr>
        <w:t xml:space="preserve"> 梁佳圆, 杨丽霞, 王亮, 等. 肝衰竭合并黄曲霉眼内炎1例</w:t>
      </w:r>
      <w:r>
        <w:rPr>
          <w:rFonts w:ascii="Times New Roman" w:hAnsi="Times New Roman" w:eastAsia="宋体"/>
          <w:sz w:val="24"/>
        </w:rPr>
        <w:t>[J]</w:t>
      </w:r>
      <w:r>
        <w:rPr>
          <w:rFonts w:ascii="Times New Roman" w:hAnsi="Times New Roman" w:eastAsia="宋体"/>
          <w:sz w:val="24"/>
        </w:rPr>
        <w:t>. 中华传染病杂志, 2022, 40(2): 106-107. DOI:10.3760/cma.j.cn311365-20210508-00165.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[4]</w:t>
      </w:r>
      <w:r>
        <w:rPr>
          <w:rFonts w:ascii="Times New Roman" w:hAnsi="Times New Roman" w:eastAsia="宋体"/>
          <w:sz w:val="24"/>
        </w:rPr>
        <w:t xml:space="preserve"> 吴金梅, 朱俊, 陈放, 等. 肺曲霉菌病合并内源性真菌性眼内炎1例</w:t>
      </w:r>
      <w:r>
        <w:rPr>
          <w:rFonts w:ascii="Times New Roman" w:hAnsi="Times New Roman" w:eastAsia="宋体"/>
          <w:sz w:val="24"/>
        </w:rPr>
        <w:t>[J]</w:t>
      </w:r>
      <w:r>
        <w:rPr>
          <w:rFonts w:ascii="Times New Roman" w:hAnsi="Times New Roman" w:eastAsia="宋体"/>
          <w:sz w:val="24"/>
        </w:rPr>
        <w:t>. 中华眼视光学与视觉科学杂志（中英文）, 2025, 27(11): 873-876. DOI:10.3760/cma.j.cn115909-20250328-00106.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图位与中英文图注（待核对原图后定稿）</w:t>
      </w:r>
    </w:p>
    <w:p>
      <w:r>
        <w:rPr>
          <w:rFonts w:ascii="Times New Roman" w:hAnsi="Times New Roman" w:eastAsia="宋体"/>
          <w:sz w:val="24"/>
        </w:rPr>
        <w:t>图1　左眼玻璃体切除联合硅油填充术后第1天眼底像（2025年12月6日）。</w:t>
      </w:r>
      <w:r>
        <w:rPr>
          <w:rFonts w:ascii="Times New Roman" w:hAnsi="Times New Roman" w:eastAsia="宋体"/>
          <w:color w:val="B22222"/>
          <w:sz w:val="24"/>
        </w:rPr>
        <w:t>[拟采用原稿image6中的左眼眼底区域；请提供匿名化原始导出图，由临床作者确认病灶、出血及与手术的关系后完善描述。此图不能标注为11月24日初诊图。]</w:t>
      </w:r>
    </w:p>
    <w:p>
      <w:r>
        <w:rPr>
          <w:rFonts w:ascii="Times New Roman" w:hAnsi="Times New Roman" w:eastAsia="宋体"/>
          <w:sz w:val="24"/>
        </w:rPr>
        <w:t xml:space="preserve">Figure 1. Fundus image of the left eye on postoperative day 1 after pars plana vitrectomy and silicone oil tamponade (6 December 2025). </w:t>
      </w:r>
      <w:r>
        <w:rPr>
          <w:rFonts w:ascii="Times New Roman" w:hAnsi="Times New Roman" w:eastAsia="宋体"/>
          <w:sz w:val="24"/>
        </w:rPr>
        <w:t>[Provide the original de-identified image and confirm the findings before finalizing the legend.]</w:t>
      </w:r>
    </w:p>
    <w:p>
      <w:r>
        <w:rPr>
          <w:rFonts w:ascii="Times New Roman" w:hAnsi="Times New Roman" w:eastAsia="宋体"/>
          <w:sz w:val="24"/>
        </w:rPr>
        <w:t>图2　左眼玻璃体切除联合硅油填充术后第1天黄斑OCT（2025年12月6日）。</w:t>
      </w:r>
      <w:r>
        <w:rPr>
          <w:rFonts w:ascii="Times New Roman" w:hAnsi="Times New Roman" w:eastAsia="宋体"/>
          <w:color w:val="B22222"/>
          <w:sz w:val="24"/>
        </w:rPr>
        <w:t>[拟采用原稿image2中标注OS的下方两幅扫描；请提供匿名化原始图，保留必要的方位和尺度，由临床作者确认具体所见。原稿image8、image9为眼前节OCT，不用于本图。]</w:t>
      </w:r>
    </w:p>
    <w:p>
      <w:r>
        <w:rPr>
          <w:rFonts w:ascii="Times New Roman" w:hAnsi="Times New Roman" w:eastAsia="宋体"/>
          <w:sz w:val="24"/>
        </w:rPr>
        <w:t xml:space="preserve">Figure 2. Macular optical coherence tomography of the left eye on postoperative day 1 (6 December 2025). </w:t>
      </w:r>
      <w:r>
        <w:rPr>
          <w:rFonts w:ascii="Times New Roman" w:hAnsi="Times New Roman" w:eastAsia="宋体"/>
          <w:sz w:val="24"/>
        </w:rPr>
        <w:t>[Use the original OS scans and obtain clinical confirmation of the findings. The anterior-segment OCT reports are not macular scans.]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color w:val="777777"/>
        <w:sz w:val="16"/>
      </w:rPr>
      <w:t>备选投稿工作稿｜红色及方括号内容请核实后删除或替换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初诊为视网膜血管炎的黄曲霉性眼内炎一例</dc:title>
  <dc:subject>Case report submission working draft</dc:subject>
  <dc:creator>聂圣琼；占宇姝；靳鹍</dc:creator>
  <cp:keywords>endophthalmitis; case report; alternative submission draft</cp:keywords>
  <dc:description>Clinical details and unresolved author queries require final author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