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i/>
          <w:sz w:val="32"/>
        </w:rPr>
        <w:t>Aspergillus flavus</w:t>
      </w:r>
      <w:r>
        <w:rPr>
          <w:rFonts w:ascii="Times New Roman" w:hAnsi="Times New Roman" w:eastAsia="宋体"/>
          <w:sz w:val="32"/>
        </w:rPr>
        <w:t xml:space="preserve"> endophthalmitis initially diagnosed as retinal vasculitis: a case report</w:t>
      </w:r>
    </w:p>
    <w:p>
      <w:r>
        <w:rPr>
          <w:rFonts w:ascii="Times New Roman" w:hAnsi="Times New Roman" w:eastAsia="宋体"/>
          <w:sz w:val="24"/>
        </w:rPr>
        <w:t>Shengqiong Nie¹, Yushu Zhan², Kun Jin¹*</w:t>
      </w:r>
    </w:p>
    <w:p>
      <w:r>
        <w:rPr>
          <w:rFonts w:ascii="Times New Roman" w:hAnsi="Times New Roman" w:eastAsia="宋体"/>
          <w:sz w:val="24"/>
        </w:rPr>
        <w:t>¹ Yichang Central People's Hospital, Yichang, China.</w:t>
      </w:r>
    </w:p>
    <w:p>
      <w:r>
        <w:rPr>
          <w:rFonts w:ascii="Times New Roman" w:hAnsi="Times New Roman" w:eastAsia="宋体"/>
          <w:sz w:val="24"/>
        </w:rPr>
        <w:t>Article type: Case report. Intended journal: BMC Ophthalmology. Alternative to the Chinese version for one initial submission only. Current author instructions, APC and indexing await official verification; resolve all author queries before submission.</w:t>
      </w:r>
    </w:p>
    <w:p>
      <w:r>
        <w:rPr>
          <w:rFonts w:ascii="Times New Roman" w:hAnsi="Times New Roman" w:eastAsia="宋体"/>
          <w:sz w:val="24"/>
        </w:rPr>
        <w:t>² Affiliated Hospital of Sanxia Polytechnic, Yichang, China.</w:t>
      </w:r>
    </w:p>
    <w:p>
      <w:r>
        <w:rPr>
          <w:rFonts w:ascii="Times New Roman" w:hAnsi="Times New Roman" w:eastAsia="宋体"/>
          <w:sz w:val="24"/>
        </w:rPr>
        <w:t>*Corresponding author: Kun Jin, Yichang Central People's Hospital, Yichang, China.</w:t>
      </w:r>
    </w:p>
    <w:p>
      <w:r>
        <w:rPr>
          <w:rFonts w:ascii="Times New Roman" w:hAnsi="Times New Roman" w:eastAsia="宋体"/>
          <w:color w:val="B22222"/>
          <w:sz w:val="24"/>
        </w:rPr>
        <w:t>[TO COMPLETE: All Romanized author names, author order, degrees, departmental names, official English institutional names, postal addresses and corresponding author's email must be confirmed by the authors. “Sanxia Polytechnic” is provisional and must be checked against the institution's official English designation.]</w:t>
      </w:r>
    </w:p>
    <w:p>
      <w:r>
        <w:br w:type="page"/>
      </w:r>
    </w:p>
    <w:p>
      <w:pPr>
        <w:pStyle w:val="Heading1"/>
      </w:pPr>
      <w:r>
        <w:rPr>
          <w:rFonts w:ascii="Times New Roman" w:hAnsi="Times New Roman" w:eastAsia="宋体"/>
          <w:sz w:val="28"/>
        </w:rPr>
        <w:t>Abstract</w:t>
      </w:r>
    </w:p>
    <w:p>
      <w:pPr>
        <w:pStyle w:val="Heading2"/>
      </w:pPr>
      <w:r>
        <w:rPr>
          <w:rFonts w:ascii="Times New Roman" w:hAnsi="Times New Roman" w:eastAsia="宋体"/>
          <w:sz w:val="24"/>
        </w:rPr>
        <w:t>Background</w:t>
      </w:r>
    </w:p>
    <w:p>
      <w:r>
        <w:rPr>
          <w:rFonts w:ascii="Times New Roman" w:hAnsi="Times New Roman" w:eastAsia="宋体"/>
          <w:sz w:val="24"/>
        </w:rPr>
        <w:t xml:space="preserve">Fungal endophthalmitis can present predominantly with posterior segment abnormalities, complicating the distinction from other causes of retinal inflammation. We describe </w:t>
      </w:r>
      <w:r>
        <w:rPr>
          <w:rFonts w:ascii="Times New Roman" w:hAnsi="Times New Roman" w:eastAsia="宋体"/>
          <w:i/>
          <w:sz w:val="24"/>
        </w:rPr>
        <w:t>Aspergillus flavus</w:t>
      </w:r>
      <w:r>
        <w:rPr>
          <w:rFonts w:ascii="Times New Roman" w:hAnsi="Times New Roman" w:eastAsia="宋体"/>
          <w:sz w:val="24"/>
        </w:rPr>
        <w:t xml:space="preserve"> endophthalmitis initially diagnosed as retinal vasculitis, with concordant culture and targeted sequencing findings.</w:t>
      </w:r>
    </w:p>
    <w:p>
      <w:pPr>
        <w:pStyle w:val="Heading2"/>
      </w:pPr>
      <w:r>
        <w:rPr>
          <w:rFonts w:ascii="Times New Roman" w:hAnsi="Times New Roman" w:eastAsia="宋体"/>
          <w:sz w:val="24"/>
        </w:rPr>
        <w:t>Case presentation</w:t>
      </w:r>
    </w:p>
    <w:p>
      <w:r>
        <w:rPr>
          <w:rFonts w:ascii="Times New Roman" w:hAnsi="Times New Roman" w:eastAsia="宋体"/>
          <w:sz w:val="24"/>
        </w:rPr>
        <w:t xml:space="preserve">A 38-year-old man without known chronic systemic disease presented with a 2-day history of painful visual loss in his left eye. Visual acuity was counting fingers in front of the eye. Examination showed a yellow-white macular lesion, retinal edema and subretinal hemorrhages. Fluorescein angiography demonstrated vascular staining and leakage, and optical coherence tomography showed retinal detachment involving the macula. Initial antiviral and corticosteroid treatment was followed by transient symptomatic improvement and subsequent worsening. After referral, marked vitreous opacity and a large gray-white posterior pole lesion with satellite lesions were observed. Pars plana vitrectomy with silicone oil tamponade was performed. Intraoperative intraocular specimens yielded </w:t>
      </w:r>
      <w:r>
        <w:rPr>
          <w:rFonts w:ascii="Times New Roman" w:hAnsi="Times New Roman" w:eastAsia="宋体"/>
          <w:i/>
          <w:sz w:val="24"/>
        </w:rPr>
        <w:t>A. flavus</w:t>
      </w:r>
      <w:r>
        <w:rPr>
          <w:rFonts w:ascii="Times New Roman" w:hAnsi="Times New Roman" w:eastAsia="宋体"/>
          <w:sz w:val="24"/>
        </w:rPr>
        <w:t xml:space="preserve"> on fungal culture, while targeted capture-based next-generation sequencing detected the </w:t>
      </w:r>
      <w:r>
        <w:rPr>
          <w:rFonts w:ascii="Times New Roman" w:hAnsi="Times New Roman" w:eastAsia="宋体"/>
          <w:i/>
          <w:sz w:val="24"/>
        </w:rPr>
        <w:t>A. flavus</w:t>
      </w:r>
      <w:r>
        <w:rPr>
          <w:rFonts w:ascii="Times New Roman" w:hAnsi="Times New Roman" w:eastAsia="宋体"/>
          <w:sz w:val="24"/>
        </w:rPr>
        <w:t xml:space="preserve"> complex. Treatment included oral voriconazole, 200 mg twice daily, and documented intravitreal voriconazole injections on 9 and 24 December 2025. At the last available examination on 24 December, left-eye vision remained counting fingers, with persistent anterior chamber inflammation, macular abnormalities and shallow retinal detachment. Longer-term outcomes were unavailable.</w:t>
      </w:r>
    </w:p>
    <w:p>
      <w:pPr>
        <w:pStyle w:val="Heading2"/>
      </w:pPr>
      <w:r>
        <w:rPr>
          <w:rFonts w:ascii="Times New Roman" w:hAnsi="Times New Roman" w:eastAsia="宋体"/>
          <w:sz w:val="24"/>
        </w:rPr>
        <w:t>Conclusions</w:t>
      </w:r>
    </w:p>
    <w:p>
      <w:r>
        <w:rPr>
          <w:rFonts w:ascii="Times New Roman" w:hAnsi="Times New Roman" w:eastAsia="宋体"/>
          <w:sz w:val="24"/>
        </w:rPr>
        <w:t>Yellow-white posterior segment lesions accompanying retinal vasculitis warrant consideration of fungal infection. This case illustrates the contribution of intraocular sampling and concordant microbiological findings to etiological diagnosis. An endogenous route was suspected but not demonstrated, and the available follow-up does not establish infection control.</w:t>
      </w:r>
    </w:p>
    <w:p>
      <w:r>
        <w:rPr>
          <w:rFonts w:ascii="Times New Roman" w:hAnsi="Times New Roman" w:eastAsia="宋体"/>
          <w:b/>
          <w:sz w:val="24"/>
        </w:rPr>
        <w:t>Keywords:</w:t>
      </w:r>
      <w:r>
        <w:rPr>
          <w:rFonts w:ascii="Times New Roman" w:hAnsi="Times New Roman" w:eastAsia="宋体"/>
          <w:sz w:val="24"/>
        </w:rPr>
        <w:t xml:space="preserve"> </w:t>
      </w:r>
      <w:r>
        <w:rPr>
          <w:rFonts w:ascii="Times New Roman" w:hAnsi="Times New Roman" w:eastAsia="宋体"/>
          <w:i/>
          <w:sz w:val="24"/>
        </w:rPr>
        <w:t>Aspergillus flavus</w:t>
      </w:r>
      <w:r>
        <w:rPr>
          <w:rFonts w:ascii="Times New Roman" w:hAnsi="Times New Roman" w:eastAsia="宋体"/>
          <w:sz w:val="24"/>
        </w:rPr>
        <w:t>; Fungal endophthalmitis; Retinal vasculitis; Targeted next-generation sequencing; Case report</w:t>
      </w:r>
    </w:p>
    <w:p>
      <w:pPr>
        <w:pStyle w:val="Heading1"/>
      </w:pPr>
      <w:r>
        <w:rPr>
          <w:rFonts w:ascii="Times New Roman" w:hAnsi="Times New Roman" w:eastAsia="宋体"/>
          <w:sz w:val="28"/>
        </w:rPr>
        <w:t>Background</w:t>
      </w:r>
    </w:p>
    <w:p>
      <w:r>
        <w:rPr>
          <w:rFonts w:ascii="Times New Roman" w:hAnsi="Times New Roman" w:eastAsia="宋体"/>
          <w:sz w:val="24"/>
        </w:rPr>
        <w:t xml:space="preserve">Fungal endophthalmitis is a potentially sight-threatening intraocular infection with variable anterior and posterior segment manifestations. Recent international consensus guidance emphasizes that posterior segment signs may be more apparent than anterior segment inflammation and that microbiological investigation and systemic evaluation are central to diagnosis and management </w:t>
      </w:r>
      <w:r>
        <w:rPr>
          <w:rFonts w:ascii="Times New Roman" w:hAnsi="Times New Roman" w:eastAsia="宋体"/>
          <w:sz w:val="24"/>
        </w:rPr>
        <w:t>[1]</w:t>
      </w:r>
      <w:r>
        <w:rPr>
          <w:rFonts w:ascii="Times New Roman" w:hAnsi="Times New Roman" w:eastAsia="宋体"/>
          <w:sz w:val="24"/>
        </w:rPr>
        <w:t>. Yellow-white chorioretinal lesions, vitreous inflammation and associated hemorrhage may nevertheless be interpreted initially within a broader differential diagnosis of retinal inflammation.</w:t>
      </w:r>
    </w:p>
    <w:p>
      <w:r>
        <w:rPr>
          <w:rFonts w:ascii="Times New Roman" w:hAnsi="Times New Roman" w:eastAsia="宋体"/>
          <w:sz w:val="24"/>
        </w:rPr>
        <w:t xml:space="preserve">Previously reported cases include </w:t>
      </w:r>
      <w:r>
        <w:rPr>
          <w:rFonts w:ascii="Times New Roman" w:hAnsi="Times New Roman" w:eastAsia="宋体"/>
          <w:i/>
          <w:sz w:val="24"/>
        </w:rPr>
        <w:t>A. flavus</w:t>
      </w:r>
      <w:r>
        <w:rPr>
          <w:rFonts w:ascii="Times New Roman" w:hAnsi="Times New Roman" w:eastAsia="宋体"/>
          <w:sz w:val="24"/>
        </w:rPr>
        <w:t xml:space="preserve"> endophthalmitis in a patient with liver failure and diabetes and fungal endophthalmitis associated with pulmonary aspergillosis </w:t>
      </w:r>
      <w:r>
        <w:rPr>
          <w:rFonts w:ascii="Times New Roman" w:hAnsi="Times New Roman" w:eastAsia="宋体"/>
          <w:sz w:val="24"/>
        </w:rPr>
        <w:t>[2,3]</w:t>
      </w:r>
      <w:r>
        <w:rPr>
          <w:rFonts w:ascii="Times New Roman" w:hAnsi="Times New Roman" w:eastAsia="宋体"/>
          <w:sz w:val="24"/>
        </w:rPr>
        <w:t xml:space="preserve">. These reports do not establish the source of infection or risk profile in an individual patient. We report unilateral </w:t>
      </w:r>
      <w:r>
        <w:rPr>
          <w:rFonts w:ascii="Times New Roman" w:hAnsi="Times New Roman" w:eastAsia="宋体"/>
          <w:i/>
          <w:sz w:val="24"/>
        </w:rPr>
        <w:t>A. flavus</w:t>
      </w:r>
      <w:r>
        <w:rPr>
          <w:rFonts w:ascii="Times New Roman" w:hAnsi="Times New Roman" w:eastAsia="宋体"/>
          <w:sz w:val="24"/>
        </w:rPr>
        <w:t xml:space="preserve"> endophthalmitis in a man without known chronic systemic disease whose initial presentation was diagnosed as retinal vasculitis. The case highlights diagnostic reassessment after progression and the interpretation of concordant culture and targeted sequencing results.</w:t>
      </w:r>
    </w:p>
    <w:p>
      <w:pPr>
        <w:pStyle w:val="Heading1"/>
      </w:pPr>
      <w:r>
        <w:rPr>
          <w:rFonts w:ascii="Times New Roman" w:hAnsi="Times New Roman" w:eastAsia="宋体"/>
          <w:sz w:val="28"/>
        </w:rPr>
        <w:t>Case presentation</w:t>
      </w:r>
    </w:p>
    <w:p>
      <w:pPr>
        <w:pStyle w:val="Heading2"/>
      </w:pPr>
      <w:r>
        <w:rPr>
          <w:rFonts w:ascii="Times New Roman" w:hAnsi="Times New Roman" w:eastAsia="宋体"/>
          <w:sz w:val="24"/>
        </w:rPr>
        <w:t>Initial presentation and diagnostic assessment</w:t>
      </w:r>
    </w:p>
    <w:p>
      <w:r>
        <w:rPr>
          <w:rFonts w:ascii="Times New Roman" w:hAnsi="Times New Roman" w:eastAsia="宋体"/>
          <w:sz w:val="24"/>
        </w:rPr>
        <w:t>A 38-year-old man presented to Yichang Central People's Hospital on 24 November 2025 with sudden visual loss and pain in his left eye for 2 days. Five days before presentation, he had developed cough, fever and generalized weakness. These symptoms improved after antibacterial and antipyretic treatment at a local clinic. He reported no known chronic systemic disease, long-term medication use, ocular trauma or previous ocular surgery. A formal assessment establishing normal immune function was not available.</w:t>
      </w:r>
    </w:p>
    <w:p>
      <w:r>
        <w:rPr>
          <w:rFonts w:ascii="Times New Roman" w:hAnsi="Times New Roman" w:eastAsia="宋体"/>
          <w:sz w:val="24"/>
        </w:rPr>
        <w:t>Visual acuity was 1.0 in the right eye and counting fingers in front of the left eye. Intraocular pressure was 16.0 and 17.5 mmHg, respectively. The right fundus was unremarkable. The left conjunctiva was injected and edematous, while the cornea was clear and the anterior chamber was initially described as clear. Fundus examination revealed a yellow-white macular retinal lesion, retinal edema and multiple subretinal hemorrhages. B-scan ultrasonography showed left vitreous opacity, temporal ocular wall thickening and subretinal fluid. Fluorescein angiography demonstrated early vascular wall staining, areas of blocked fluorescence and extensive late leakage. Optical coherence tomography showed retinal detachment involving the macula and inner retinal edema.</w:t>
      </w:r>
    </w:p>
    <w:p>
      <w:r>
        <w:rPr>
          <w:rFonts w:ascii="Times New Roman" w:hAnsi="Times New Roman" w:eastAsia="宋体"/>
          <w:sz w:val="24"/>
        </w:rPr>
        <w:t>Chest computed tomography showed an air-containing cyst in the right lower lung, without documentation of a confirmed pulmonary fungal focus. Abdominal imaging identified a hepatic cyst; mild fatty liver was subsequently reported. Serum alanine aminotransferase was 53 U/L at initial presentation. The available records did not establish a bloodstream infection, an extraocular Aspergillus focus or a specific immunodeficiency.</w:t>
      </w:r>
    </w:p>
    <w:p>
      <w:pPr>
        <w:pStyle w:val="Heading2"/>
      </w:pPr>
      <w:r>
        <w:rPr>
          <w:rFonts w:ascii="Times New Roman" w:hAnsi="Times New Roman" w:eastAsia="宋体"/>
          <w:sz w:val="24"/>
        </w:rPr>
        <w:t>Initial treatment and referral</w:t>
      </w:r>
    </w:p>
    <w:p>
      <w:r>
        <w:rPr>
          <w:rFonts w:ascii="Times New Roman" w:hAnsi="Times New Roman" w:eastAsia="宋体"/>
          <w:sz w:val="24"/>
        </w:rPr>
        <w:t>The initial diagnosis was left retinal vasculitis. Anterior chamber flare and cells were observed on the following day. Treatment included intravenous ganciclovir every 12 h, topical ganciclovir, topical tobramycin–dexamethasone and a periocular triamcinolone injection. Anterior segment inflammation, vitreous opacity and symptoms initially decreased. Intraocular fluid testing was recommended but declined at that stage. On 27 November, anterior chamber inflammation and vitreous opacity worsened, and further intraocular investigation or referral was advised.</w:t>
      </w:r>
    </w:p>
    <w:p>
      <w:r>
        <w:rPr>
          <w:rFonts w:ascii="Times New Roman" w:hAnsi="Times New Roman" w:eastAsia="宋体"/>
          <w:sz w:val="24"/>
        </w:rPr>
        <w:t xml:space="preserve">The patient subsequently attended another hospital, where an aqueous specimen was submitted for testing and reported as negative. The assay, sampling date and full report were unavailable; the negative result therefore could not be assigned to a particular microbiological method. Intravitreal ganciclovir was administered, but the condition worsened and the patient was referred to Tongji Hospital in Wuhan. </w:t>
      </w:r>
      <w:r>
        <w:rPr>
          <w:rFonts w:ascii="Times New Roman" w:hAnsi="Times New Roman" w:eastAsia="宋体"/>
          <w:color w:val="B22222"/>
          <w:sz w:val="24"/>
        </w:rPr>
        <w:t>[TO COMPLETE: Dates of both referrals; aqueous test method and original result; intravenous and intravitreal ganciclovir doses; and periocular triamcinolone dose.]</w:t>
      </w:r>
    </w:p>
    <w:p>
      <w:r>
        <w:rPr>
          <w:rFonts w:ascii="Times New Roman" w:hAnsi="Times New Roman" w:eastAsia="宋体"/>
          <w:sz w:val="24"/>
        </w:rPr>
        <w:t>At that assessment, visual acuity was 1.2 in the right eye and 0.02 in the left eye, with intraocular pressures of 22 and 15 mmHg, respectively. The left eye showed numerous keratic precipitates, anterior chamber flare, lens opacity and marked vitreous opacity. A large gray-white lesion adjacent to the macula was accompanied by several gray-white satellite lesions. Endophthalmitis and complicated cataract were diagnosed.</w:t>
      </w:r>
    </w:p>
    <w:p>
      <w:pPr>
        <w:pStyle w:val="Heading2"/>
      </w:pPr>
      <w:r>
        <w:rPr>
          <w:rFonts w:ascii="Times New Roman" w:hAnsi="Times New Roman" w:eastAsia="宋体"/>
          <w:sz w:val="24"/>
        </w:rPr>
        <w:t>Intraocular sampling and antifungal treatment</w:t>
      </w:r>
    </w:p>
    <w:p>
      <w:r>
        <w:rPr>
          <w:rFonts w:ascii="Times New Roman" w:hAnsi="Times New Roman" w:eastAsia="宋体"/>
          <w:sz w:val="24"/>
        </w:rPr>
        <w:t xml:space="preserve">On 5 December 2025, left pars plana vitrectomy with silicone oil tamponade was performed, and intraoperative intraocular specimens were submitted for pathogen testing. </w:t>
      </w:r>
      <w:r>
        <w:rPr>
          <w:rFonts w:ascii="Times New Roman" w:hAnsi="Times New Roman" w:eastAsia="宋体"/>
          <w:color w:val="B22222"/>
          <w:sz w:val="24"/>
        </w:rPr>
        <w:t>[AUTHOR QUERY: The culture report labels the specimen “tissue” and the targeted sequencing report labels it “aspirated fluid.” Confirm the precise anatomical source, collection procedure and timing for each; do not relabel both as vitreous specimens without checking the operative and laboratory records.]</w:t>
      </w:r>
    </w:p>
    <w:p>
      <w:r>
        <w:rPr>
          <w:rFonts w:ascii="Times New Roman" w:hAnsi="Times New Roman" w:eastAsia="宋体"/>
          <w:sz w:val="24"/>
        </w:rPr>
        <w:t xml:space="preserve">On 8 December, fungal culture reported </w:t>
      </w:r>
      <w:r>
        <w:rPr>
          <w:rFonts w:ascii="Times New Roman" w:hAnsi="Times New Roman" w:eastAsia="宋体"/>
          <w:i/>
          <w:sz w:val="24"/>
        </w:rPr>
        <w:t>A. flavus</w:t>
      </w:r>
      <w:r>
        <w:rPr>
          <w:rFonts w:ascii="Times New Roman" w:hAnsi="Times New Roman" w:eastAsia="宋体"/>
          <w:sz w:val="24"/>
        </w:rPr>
        <w:t xml:space="preserve">. Targeted capture-based next-generation sequencing reported the </w:t>
      </w:r>
      <w:r>
        <w:rPr>
          <w:rFonts w:ascii="Times New Roman" w:hAnsi="Times New Roman" w:eastAsia="宋体"/>
          <w:i/>
          <w:sz w:val="24"/>
        </w:rPr>
        <w:t>A. flavus</w:t>
      </w:r>
      <w:r>
        <w:rPr>
          <w:rFonts w:ascii="Times New Roman" w:hAnsi="Times New Roman" w:eastAsia="宋体"/>
          <w:sz w:val="24"/>
        </w:rPr>
        <w:t xml:space="preserve"> complex, with a sequence count of 8,361 and a relative abundance of 85.1% within the report's fungal sequence category. This percentage was not a proportion of all pathogen sequences or a quantitative estimate of intraocular fungal burden. The culture and sequencing results supported </w:t>
      </w:r>
      <w:r>
        <w:rPr>
          <w:rFonts w:ascii="Times New Roman" w:hAnsi="Times New Roman" w:eastAsia="宋体"/>
          <w:i/>
          <w:sz w:val="24"/>
        </w:rPr>
        <w:t>A. flavus</w:t>
      </w:r>
      <w:r>
        <w:rPr>
          <w:rFonts w:ascii="Times New Roman" w:hAnsi="Times New Roman" w:eastAsia="宋体"/>
          <w:sz w:val="24"/>
        </w:rPr>
        <w:t xml:space="preserve">-associated endophthalmitis. An endogenous origin was considered because no preceding trauma or ocular surgery was reported, although an extraocular source and hematogenous spread were not demonstrated. </w:t>
      </w:r>
      <w:r>
        <w:rPr>
          <w:rFonts w:ascii="Times New Roman" w:hAnsi="Times New Roman" w:eastAsia="宋体"/>
          <w:color w:val="B22222"/>
          <w:sz w:val="24"/>
        </w:rPr>
        <w:t>[TO COMPLETE: Culture identification method, microscopy and susceptibility results if performed; sequencing platform, laboratory, quality controls and other clinically relevant detections.]</w:t>
      </w:r>
    </w:p>
    <w:p>
      <w:r>
        <w:rPr>
          <w:rFonts w:ascii="Times New Roman" w:hAnsi="Times New Roman" w:eastAsia="宋体"/>
          <w:sz w:val="24"/>
        </w:rPr>
        <w:t xml:space="preserve">Oral voriconazole was prescribed at 200 mg twice daily. Intravitreal voriconazole was documented on 9 December. The available account also records topical levofloxacin and postoperative anti-inflammatory treatment. </w:t>
      </w:r>
      <w:r>
        <w:rPr>
          <w:rFonts w:ascii="Times New Roman" w:hAnsi="Times New Roman" w:eastAsia="宋体"/>
          <w:color w:val="B22222"/>
          <w:sz w:val="24"/>
        </w:rPr>
        <w:t>[TO COMPLETE: Voriconazole start date, loading regimen if any, intended and actual systemic duration, therapeutic drug monitoring if performed, all intravitreal injection dates, and the dose and volume of each injection in the silicone oil-filled eye. Do not substitute a published standard dose for the administered dose.]</w:t>
      </w:r>
    </w:p>
    <w:p>
      <w:pPr>
        <w:pStyle w:val="Heading2"/>
      </w:pPr>
      <w:r>
        <w:rPr>
          <w:rFonts w:ascii="Times New Roman" w:hAnsi="Times New Roman" w:eastAsia="宋体"/>
          <w:sz w:val="24"/>
        </w:rPr>
        <w:t>Follow-up and outcomes</w:t>
      </w:r>
    </w:p>
    <w:p>
      <w:r>
        <w:rPr>
          <w:rFonts w:ascii="Times New Roman" w:hAnsi="Times New Roman" w:eastAsia="宋体"/>
          <w:sz w:val="24"/>
        </w:rPr>
        <w:t>At reassessment in Yichang on 24 December 2025, left-eye vision was counting fingers in front of the eye and intraocular pressure was 9.5 mmHg. The eye remained injected, with anterior chamber flare graded ++ in the clinical record. Silicone oil was present. Fundus examination showed macular whitening and edema with extensive hemorrhage, an inferior yellow-white lesion and shallow retinal detachment. A further intravitreal voriconazole injection was administered, after which the patient was discharged. The record describes his condition as stable at discharge, but persistent inflammatory and structural abnormalities preclude an inference that the infection was controlled.</w:t>
      </w:r>
    </w:p>
    <w:p>
      <w:r>
        <w:rPr>
          <w:rFonts w:ascii="Times New Roman" w:hAnsi="Times New Roman" w:eastAsia="宋体"/>
          <w:sz w:val="24"/>
        </w:rPr>
        <w:t xml:space="preserve">Alanine aminotransferase was 106 U/L on 24 December. The record does not establish the cause of this increase or document its subsequent course. A contemporaneous optical coherence tomography description contains inconsistent laterality and was not used to infer left-eye anatomical change. No subsequent follow-up was supplied. </w:t>
      </w:r>
      <w:r>
        <w:rPr>
          <w:rFonts w:ascii="Times New Roman" w:hAnsi="Times New Roman" w:eastAsia="宋体"/>
          <w:color w:val="B22222"/>
          <w:sz w:val="24"/>
        </w:rPr>
        <w:t>[TO COMPLETE: Verify optical coherence tomography laterality; provide liver test reference ranges and clinical response to the abnormal result; add the latest visual acuity, intraocular pressure, inflammation, retinal status, antifungal duration and recurrence assessment, if available.]</w:t>
      </w:r>
    </w:p>
    <w:p>
      <w:pPr>
        <w:pStyle w:val="Heading1"/>
      </w:pPr>
      <w:r>
        <w:rPr>
          <w:rFonts w:ascii="Times New Roman" w:hAnsi="Times New Roman" w:eastAsia="宋体"/>
          <w:sz w:val="28"/>
        </w:rPr>
        <w:t>Discussion and conclusions</w:t>
      </w:r>
    </w:p>
    <w:p>
      <w:r>
        <w:rPr>
          <w:rFonts w:ascii="Times New Roman" w:hAnsi="Times New Roman" w:eastAsia="宋体"/>
          <w:sz w:val="24"/>
        </w:rPr>
        <w:t xml:space="preserve">The principal diagnostic issue was the initial predominance of retinal vascular and macular abnormalities over anterior segment inflammation. Fluorescein leakage supports disruption of the blood–retinal barrier but does not establish a viral or noninfectious etiology. The combination of a yellow-white lesion, hemorrhage, subsequent vitreous inflammation and satellite lesions warranted reassessment for infection. This is consistent with international consensus observations that fungal endophthalmitis may have prominent posterior segment manifestations </w:t>
      </w:r>
      <w:r>
        <w:rPr>
          <w:rFonts w:ascii="Times New Roman" w:hAnsi="Times New Roman" w:eastAsia="宋体"/>
          <w:sz w:val="24"/>
        </w:rPr>
        <w:t>[1]</w:t>
      </w:r>
      <w:r>
        <w:rPr>
          <w:rFonts w:ascii="Times New Roman" w:hAnsi="Times New Roman" w:eastAsia="宋体"/>
          <w:sz w:val="24"/>
        </w:rPr>
        <w:t>.</w:t>
      </w:r>
    </w:p>
    <w:p>
      <w:r>
        <w:rPr>
          <w:rFonts w:ascii="Times New Roman" w:hAnsi="Times New Roman" w:eastAsia="宋体"/>
          <w:sz w:val="24"/>
        </w:rPr>
        <w:t xml:space="preserve">The brief improvement after initial treatment did not exclude fungal disease. The temporal sequence of corticosteroid exposure and subsequent progression is clinically relevant, but this case cannot establish that corticosteroids caused progression. Expert guidance also identifies uncertainty around adjunctive intraocular corticosteroids in fungal endophthalmitis </w:t>
      </w:r>
      <w:r>
        <w:rPr>
          <w:rFonts w:ascii="Times New Roman" w:hAnsi="Times New Roman" w:eastAsia="宋体"/>
          <w:sz w:val="24"/>
        </w:rPr>
        <w:t>[1]</w:t>
      </w:r>
      <w:r>
        <w:rPr>
          <w:rFonts w:ascii="Times New Roman" w:hAnsi="Times New Roman" w:eastAsia="宋体"/>
          <w:sz w:val="24"/>
        </w:rPr>
        <w:t>. That controversy should not be conflated with evidence about the effect of the particular topical and periocular treatments administered here.</w:t>
      </w:r>
    </w:p>
    <w:p>
      <w:r>
        <w:rPr>
          <w:rFonts w:ascii="Times New Roman" w:hAnsi="Times New Roman" w:eastAsia="宋体"/>
          <w:sz w:val="24"/>
        </w:rPr>
        <w:t xml:space="preserve">Etiological attribution was strengthened by concordant culture and targeted sequencing. The molecular method was targeted capture-based sequencing, rather than an unselected metagenomic assay. Its sequence count and within-fungal-category relative abundance should be interpreted within the laboratory workflow, without treating them as a validated measure of pathogen load. The earlier negative aqueous result is difficult to interpret because its methodology is unknown. A reported case of </w:t>
      </w:r>
      <w:r>
        <w:rPr>
          <w:rFonts w:ascii="Times New Roman" w:hAnsi="Times New Roman" w:eastAsia="宋体"/>
          <w:i/>
          <w:sz w:val="24"/>
        </w:rPr>
        <w:t>Nocardia</w:t>
      </w:r>
      <w:r>
        <w:rPr>
          <w:rFonts w:ascii="Times New Roman" w:hAnsi="Times New Roman" w:eastAsia="宋体"/>
          <w:sz w:val="24"/>
        </w:rPr>
        <w:t xml:space="preserve"> endophthalmitis initially considered fungal illustrates the broader limitations of relying on clinical appearance alone </w:t>
      </w:r>
      <w:r>
        <w:rPr>
          <w:rFonts w:ascii="Times New Roman" w:hAnsi="Times New Roman" w:eastAsia="宋体"/>
          <w:sz w:val="24"/>
        </w:rPr>
        <w:t>[4]</w:t>
      </w:r>
      <w:r>
        <w:rPr>
          <w:rFonts w:ascii="Times New Roman" w:hAnsi="Times New Roman" w:eastAsia="宋体"/>
          <w:sz w:val="24"/>
        </w:rPr>
        <w:t xml:space="preserve">; it does not imply that </w:t>
      </w:r>
      <w:r>
        <w:rPr>
          <w:rFonts w:ascii="Times New Roman" w:hAnsi="Times New Roman" w:eastAsia="宋体"/>
          <w:i/>
          <w:sz w:val="24"/>
        </w:rPr>
        <w:t>Nocardia</w:t>
      </w:r>
      <w:r>
        <w:rPr>
          <w:rFonts w:ascii="Times New Roman" w:hAnsi="Times New Roman" w:eastAsia="宋体"/>
          <w:sz w:val="24"/>
        </w:rPr>
        <w:t xml:space="preserve"> remained a leading diagnosis after the concordant findings in this patient.</w:t>
      </w:r>
    </w:p>
    <w:p>
      <w:r>
        <w:rPr>
          <w:rFonts w:ascii="Times New Roman" w:hAnsi="Times New Roman" w:eastAsia="宋体"/>
          <w:sz w:val="24"/>
        </w:rPr>
        <w:t xml:space="preserve">The route of infection also remains uncertain. The absence of a reported external entry event supports consideration of endogenous infection, but preceding respiratory symptoms and an air-containing pulmonary cyst do not establish pulmonary aspergillosis. The published pulmonary-associated case had a different clinical and diagnostic context </w:t>
      </w:r>
      <w:r>
        <w:rPr>
          <w:rFonts w:ascii="Times New Roman" w:hAnsi="Times New Roman" w:eastAsia="宋体"/>
          <w:sz w:val="24"/>
        </w:rPr>
        <w:t>[3]</w:t>
      </w:r>
      <w:r>
        <w:rPr>
          <w:rFonts w:ascii="Times New Roman" w:hAnsi="Times New Roman" w:eastAsia="宋体"/>
          <w:sz w:val="24"/>
        </w:rPr>
        <w:t>. Likewise, absence of known systemic illness does not demonstrate immunocompetence. The available systemic evaluation should be reported transparently, with additional investigations included only if actually performed.</w:t>
      </w:r>
    </w:p>
    <w:p>
      <w:r>
        <w:rPr>
          <w:rFonts w:ascii="Times New Roman" w:hAnsi="Times New Roman" w:eastAsia="宋体"/>
          <w:sz w:val="24"/>
        </w:rPr>
        <w:t xml:space="preserve">Vitrectomy provided intraocular material for testing and addressed the vitreous component of the disease. Consensus guidance recognizes diagnostic, therapeutic and complication-management roles for vitrectomy and the importance of systemic and intraocular antifungal treatment in relevant fungal endophthalmitis presentations </w:t>
      </w:r>
      <w:r>
        <w:rPr>
          <w:rFonts w:ascii="Times New Roman" w:hAnsi="Times New Roman" w:eastAsia="宋体"/>
          <w:sz w:val="24"/>
        </w:rPr>
        <w:t>[1]</w:t>
      </w:r>
      <w:r>
        <w:rPr>
          <w:rFonts w:ascii="Times New Roman" w:hAnsi="Times New Roman" w:eastAsia="宋体"/>
          <w:sz w:val="24"/>
        </w:rPr>
        <w:t>. This single case, however, cannot isolate the benefit of surgery, silicone oil or either route of voriconazole administration. Missing injection details and systemic treatment duration limit interpretation. The rise in alanine aminotransferase warrants documentation and clinical review but does not by itself establish voriconazole-induced liver injury.</w:t>
      </w:r>
    </w:p>
    <w:p>
      <w:r>
        <w:rPr>
          <w:rFonts w:ascii="Times New Roman" w:hAnsi="Times New Roman" w:eastAsia="宋体"/>
          <w:sz w:val="24"/>
        </w:rPr>
        <w:t>At the last recorded examination, severe visual impairment, inflammation and retinal abnormalities persisted. Thus, the defensible outcome is an etiologically supported diagnosis followed by antifungal treatment with an incompletely documented early response, rather than successful infection eradication. The educational value lies in considering fungal infection when retinal vasculitis accompanies suspicious posterior segment lesions and in obtaining interpretable intraocular microbiological evidence when the clinical course prompts diagnostic reassessment.</w:t>
      </w:r>
    </w:p>
    <w:p>
      <w:pPr>
        <w:pStyle w:val="Heading1"/>
      </w:pPr>
      <w:r>
        <w:rPr>
          <w:rFonts w:ascii="Times New Roman" w:hAnsi="Times New Roman" w:eastAsia="宋体"/>
          <w:sz w:val="28"/>
        </w:rPr>
        <w:t>Abbreviations</w:t>
      </w:r>
    </w:p>
    <w:p>
      <w:r>
        <w:rPr>
          <w:rFonts w:ascii="Times New Roman" w:hAnsi="Times New Roman" w:eastAsia="宋体"/>
          <w:sz w:val="24"/>
        </w:rPr>
        <w:t>NGS: Next-generation sequencing.</w:t>
      </w:r>
    </w:p>
    <w:p>
      <w:pPr>
        <w:pStyle w:val="Heading1"/>
      </w:pPr>
      <w:r>
        <w:rPr>
          <w:rFonts w:ascii="Times New Roman" w:hAnsi="Times New Roman" w:eastAsia="宋体"/>
          <w:sz w:val="28"/>
        </w:rPr>
        <w:t>Declarations</w:t>
      </w:r>
    </w:p>
    <w:p>
      <w:pPr>
        <w:pStyle w:val="Heading2"/>
      </w:pPr>
      <w:r>
        <w:rPr>
          <w:rFonts w:ascii="Times New Roman" w:hAnsi="Times New Roman" w:eastAsia="宋体"/>
          <w:sz w:val="24"/>
        </w:rPr>
        <w:t>Ethics approval and consent to participate</w:t>
      </w:r>
    </w:p>
    <w:p>
      <w:r>
        <w:rPr>
          <w:rFonts w:ascii="Times New Roman" w:hAnsi="Times New Roman" w:eastAsia="宋体"/>
          <w:color w:val="B22222"/>
          <w:sz w:val="24"/>
        </w:rPr>
        <w:t>[TO COMPLETE: Confirm institutional requirements for a single-patient retrospective case report. State the reviewing institution, approval or exemption determination and reference number if applicable. Do not assume that ethics review was waived.]</w:t>
      </w:r>
    </w:p>
    <w:p>
      <w:pPr>
        <w:pStyle w:val="Heading2"/>
      </w:pPr>
      <w:r>
        <w:rPr>
          <w:rFonts w:ascii="Times New Roman" w:hAnsi="Times New Roman" w:eastAsia="宋体"/>
          <w:sz w:val="24"/>
        </w:rPr>
        <w:t>Consent for publication</w:t>
      </w:r>
    </w:p>
    <w:p>
      <w:r>
        <w:rPr>
          <w:rFonts w:ascii="Times New Roman" w:hAnsi="Times New Roman" w:eastAsia="宋体"/>
          <w:sz w:val="24"/>
        </w:rPr>
        <w:t>Written informed consent was obtained from the patient for publication of this case report and the accompanying images.</w:t>
      </w:r>
    </w:p>
    <w:p>
      <w:pPr>
        <w:pStyle w:val="Heading2"/>
      </w:pPr>
      <w:r>
        <w:rPr>
          <w:rFonts w:ascii="Times New Roman" w:hAnsi="Times New Roman" w:eastAsia="宋体"/>
          <w:sz w:val="24"/>
        </w:rPr>
        <w:t>Availability of data and materials</w:t>
      </w:r>
    </w:p>
    <w:p>
      <w:r>
        <w:rPr>
          <w:rFonts w:ascii="Times New Roman" w:hAnsi="Times New Roman" w:eastAsia="宋体"/>
          <w:color w:val="B22222"/>
          <w:sz w:val="24"/>
        </w:rPr>
        <w:t>[TO COMPLETE: Confirm an appropriate statement concerning the clinical information underlying this report, respecting patient confidentiality, consent and institutional policy. Do not promise unrestricted access to identifiable medical records.]</w:t>
      </w:r>
    </w:p>
    <w:p>
      <w:pPr>
        <w:pStyle w:val="Heading2"/>
      </w:pPr>
      <w:r>
        <w:rPr>
          <w:rFonts w:ascii="Times New Roman" w:hAnsi="Times New Roman" w:eastAsia="宋体"/>
          <w:sz w:val="24"/>
        </w:rPr>
        <w:t>Competing interests</w:t>
      </w:r>
    </w:p>
    <w:p>
      <w:r>
        <w:rPr>
          <w:rFonts w:ascii="Times New Roman" w:hAnsi="Times New Roman" w:eastAsia="宋体"/>
          <w:color w:val="B22222"/>
          <w:sz w:val="24"/>
        </w:rPr>
        <w:t>[TO COMPLETE: Each author must confirm relevant financial and non-financial interests before a declaration is inserted.]</w:t>
      </w:r>
    </w:p>
    <w:p>
      <w:pPr>
        <w:pStyle w:val="Heading2"/>
      </w:pPr>
      <w:r>
        <w:rPr>
          <w:rFonts w:ascii="Times New Roman" w:hAnsi="Times New Roman" w:eastAsia="宋体"/>
          <w:sz w:val="24"/>
        </w:rPr>
        <w:t>Funding</w:t>
      </w:r>
    </w:p>
    <w:p>
      <w:r>
        <w:rPr>
          <w:rFonts w:ascii="Times New Roman" w:hAnsi="Times New Roman" w:eastAsia="宋体"/>
          <w:color w:val="B22222"/>
          <w:sz w:val="24"/>
        </w:rPr>
        <w:t>[TO COMPLETE: State the actual funding source and its role, or confirm that no specific funding was received.]</w:t>
      </w:r>
    </w:p>
    <w:p>
      <w:pPr>
        <w:pStyle w:val="Heading2"/>
      </w:pPr>
      <w:r>
        <w:rPr>
          <w:rFonts w:ascii="Times New Roman" w:hAnsi="Times New Roman" w:eastAsia="宋体"/>
          <w:sz w:val="24"/>
        </w:rPr>
        <w:t>Authors' contributions</w:t>
      </w:r>
    </w:p>
    <w:p>
      <w:r>
        <w:rPr>
          <w:rFonts w:ascii="Times New Roman" w:hAnsi="Times New Roman" w:eastAsia="宋体"/>
          <w:color w:val="B22222"/>
          <w:sz w:val="24"/>
        </w:rPr>
        <w:t>[TO COMPLETE: Confirm each author's actual contribution and approval of the final manuscript. Suggested author identifiers, pending name confirmation: SN, YZ and KJ. Do not assign contributions by assumption.]</w:t>
      </w:r>
    </w:p>
    <w:p>
      <w:pPr>
        <w:pStyle w:val="Heading2"/>
      </w:pPr>
      <w:r>
        <w:rPr>
          <w:rFonts w:ascii="Times New Roman" w:hAnsi="Times New Roman" w:eastAsia="宋体"/>
          <w:sz w:val="24"/>
        </w:rPr>
        <w:t>Acknowledgements</w:t>
      </w:r>
    </w:p>
    <w:p>
      <w:r>
        <w:rPr>
          <w:rFonts w:ascii="Times New Roman" w:hAnsi="Times New Roman" w:eastAsia="宋体"/>
          <w:color w:val="B22222"/>
          <w:sz w:val="24"/>
        </w:rPr>
        <w:t>[TO COMPLETE: Add only with the permission of named individuals, or confirm that this section is not applicable.]</w:t>
      </w:r>
    </w:p>
    <w:p>
      <w:pPr>
        <w:pStyle w:val="Heading1"/>
      </w:pPr>
      <w:r>
        <w:rPr>
          <w:rFonts w:ascii="Times New Roman" w:hAnsi="Times New Roman" w:eastAsia="宋体"/>
          <w:sz w:val="28"/>
        </w:rPr>
        <w:t>References</w:t>
      </w:r>
    </w:p>
    <w:p>
      <w:pPr>
        <w:ind w:left="397" w:hanging="397"/>
      </w:pPr>
      <w:r>
        <w:rPr>
          <w:rFonts w:ascii="Times New Roman" w:hAnsi="Times New Roman" w:eastAsia="宋体"/>
          <w:sz w:val="24"/>
        </w:rPr>
        <w:t>1. Das T, Radke NV, Sallam AB, Chang A, Grzybowski A, Bodaghi B, et al. International consensuses and guidelines on diagnosing and managing fungal endophthalmitis by the Asia-Pacific Vitreo-retina Society (APVRS), the Academy of the Asia-Pacific Professors of Ophthalmology (AAPPO), and the Asia-Pacific Society of Ocular Inflammation and Infection (APSOII). Eye Vis (Lond). 2025;12:40. https://doi.org/10.1186/s40662-025-00456-y.</w:t>
      </w:r>
    </w:p>
    <w:p>
      <w:pPr>
        <w:ind w:left="397" w:hanging="397"/>
      </w:pPr>
      <w:r>
        <w:rPr>
          <w:rFonts w:ascii="Times New Roman" w:hAnsi="Times New Roman" w:eastAsia="宋体"/>
          <w:sz w:val="24"/>
        </w:rPr>
        <w:t xml:space="preserve">2. Liang JY, Yang LX, Wang L, Cheng QQ, Sun J, Ge SF. Liver failure complicated by </w:t>
      </w:r>
      <w:r>
        <w:rPr>
          <w:rFonts w:ascii="Times New Roman" w:hAnsi="Times New Roman" w:eastAsia="宋体"/>
          <w:i/>
          <w:sz w:val="24"/>
        </w:rPr>
        <w:t>Aspergillus flavus</w:t>
      </w:r>
      <w:r>
        <w:rPr>
          <w:rFonts w:ascii="Times New Roman" w:hAnsi="Times New Roman" w:eastAsia="宋体"/>
          <w:sz w:val="24"/>
        </w:rPr>
        <w:t xml:space="preserve"> endophthalmitis: a case report </w:t>
      </w:r>
      <w:r>
        <w:rPr>
          <w:rFonts w:ascii="Times New Roman" w:hAnsi="Times New Roman" w:eastAsia="宋体"/>
          <w:sz w:val="24"/>
        </w:rPr>
        <w:t>[in Chinese]</w:t>
      </w:r>
      <w:r>
        <w:rPr>
          <w:rFonts w:ascii="Times New Roman" w:hAnsi="Times New Roman" w:eastAsia="宋体"/>
          <w:sz w:val="24"/>
        </w:rPr>
        <w:t>. Chin J Infect Dis. 2022;40(2):106–107. https://doi.org/10.3760/cma.j.cn311365-20210508-00165.</w:t>
      </w:r>
    </w:p>
    <w:p>
      <w:pPr>
        <w:ind w:left="397" w:hanging="397"/>
      </w:pPr>
      <w:r>
        <w:rPr>
          <w:rFonts w:ascii="Times New Roman" w:hAnsi="Times New Roman" w:eastAsia="宋体"/>
          <w:sz w:val="24"/>
        </w:rPr>
        <w:t xml:space="preserve">3. Wu JM, Zhu J, Chen F, Wang J. Pulmonary aspergillosis complicated by endogenous fungal endophthalmitis: a case report </w:t>
      </w:r>
      <w:r>
        <w:rPr>
          <w:rFonts w:ascii="Times New Roman" w:hAnsi="Times New Roman" w:eastAsia="宋体"/>
          <w:sz w:val="24"/>
        </w:rPr>
        <w:t>[in Chinese]</w:t>
      </w:r>
      <w:r>
        <w:rPr>
          <w:rFonts w:ascii="Times New Roman" w:hAnsi="Times New Roman" w:eastAsia="宋体"/>
          <w:sz w:val="24"/>
        </w:rPr>
        <w:t>. Chin J Optom Ophthalmol Vis Sci. 2025;27(11):873–876. https://doi.org/10.3760/cma.j.cn115909-20250328-00106.</w:t>
      </w:r>
    </w:p>
    <w:p>
      <w:pPr>
        <w:ind w:left="397" w:hanging="397"/>
      </w:pPr>
      <w:r>
        <w:rPr>
          <w:rFonts w:ascii="Times New Roman" w:hAnsi="Times New Roman" w:eastAsia="宋体"/>
          <w:sz w:val="24"/>
        </w:rPr>
        <w:t xml:space="preserve">4. Zhou YY, Wang R, Ma WM. A case of </w:t>
      </w:r>
      <w:r>
        <w:rPr>
          <w:rFonts w:ascii="Times New Roman" w:hAnsi="Times New Roman" w:eastAsia="宋体"/>
          <w:i/>
          <w:sz w:val="24"/>
        </w:rPr>
        <w:t>Nocardia</w:t>
      </w:r>
      <w:r>
        <w:rPr>
          <w:rFonts w:ascii="Times New Roman" w:hAnsi="Times New Roman" w:eastAsia="宋体"/>
          <w:sz w:val="24"/>
        </w:rPr>
        <w:t xml:space="preserve"> endophthalmitis misdiagnosed as fungal endophthalmitis </w:t>
      </w:r>
      <w:r>
        <w:rPr>
          <w:rFonts w:ascii="Times New Roman" w:hAnsi="Times New Roman" w:eastAsia="宋体"/>
          <w:sz w:val="24"/>
        </w:rPr>
        <w:t>[in Chinese]</w:t>
      </w:r>
      <w:r>
        <w:rPr>
          <w:rFonts w:ascii="Times New Roman" w:hAnsi="Times New Roman" w:eastAsia="宋体"/>
          <w:sz w:val="24"/>
        </w:rPr>
        <w:t>. Chinese Medical Case Repository. 2025;7 (15 August 2025). https://doi.org/10.3760/cma.j.cmcr20250703-02667.</w:t>
      </w:r>
    </w:p>
    <w:p>
      <w:pPr>
        <w:pStyle w:val="Heading1"/>
      </w:pPr>
      <w:r>
        <w:rPr>
          <w:rFonts w:ascii="Times New Roman" w:hAnsi="Times New Roman" w:eastAsia="宋体"/>
          <w:sz w:val="28"/>
        </w:rPr>
        <w:t>Table 1. Clinical timeline</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shd w:fill="EDEFF2"/>
          </w:tcPr>
          <w:p>
            <w:pPr>
              <w:spacing w:line="276" w:lineRule="auto" w:after="60"/>
            </w:pPr>
            <w:r>
              <w:rPr>
                <w:rFonts w:ascii="Times New Roman" w:hAnsi="Times New Roman" w:eastAsia="宋体"/>
                <w:b/>
                <w:sz w:val="20"/>
              </w:rPr>
              <w:t>Date (relative to first presentation)</w:t>
            </w:r>
          </w:p>
        </w:tc>
        <w:tc>
          <w:tcPr>
            <w:tcW w:type="dxa" w:w="3024"/>
            <w:shd w:fill="EDEFF2"/>
          </w:tcPr>
          <w:p>
            <w:pPr>
              <w:spacing w:line="276" w:lineRule="auto" w:after="60"/>
            </w:pPr>
            <w:r>
              <w:rPr>
                <w:rFonts w:ascii="Times New Roman" w:hAnsi="Times New Roman" w:eastAsia="宋体"/>
                <w:b/>
                <w:sz w:val="20"/>
              </w:rPr>
              <w:t>Clinical findings and investigations</w:t>
            </w:r>
          </w:p>
        </w:tc>
        <w:tc>
          <w:tcPr>
            <w:tcW w:type="dxa" w:w="3024"/>
            <w:shd w:fill="EDEFF2"/>
          </w:tcPr>
          <w:p>
            <w:pPr>
              <w:spacing w:line="276" w:lineRule="auto" w:after="60"/>
            </w:pPr>
            <w:r>
              <w:rPr>
                <w:rFonts w:ascii="Times New Roman" w:hAnsi="Times New Roman" w:eastAsia="宋体"/>
                <w:b/>
                <w:sz w:val="20"/>
              </w:rPr>
              <w:t>Treatment or diagnostic decision</w:t>
            </w:r>
          </w:p>
        </w:tc>
      </w:tr>
      <w:tr>
        <w:tc>
          <w:tcPr>
            <w:tcW w:type="dxa" w:w="3024"/>
          </w:tcPr>
          <w:p>
            <w:pPr>
              <w:spacing w:line="276" w:lineRule="auto" w:after="60"/>
            </w:pPr>
            <w:r>
              <w:rPr>
                <w:rFonts w:ascii="Times New Roman" w:hAnsi="Times New Roman" w:eastAsia="宋体"/>
                <w:sz w:val="20"/>
              </w:rPr>
              <w:t>24 November 2025 (day 0)</w:t>
            </w:r>
          </w:p>
        </w:tc>
        <w:tc>
          <w:tcPr>
            <w:tcW w:type="dxa" w:w="3024"/>
          </w:tcPr>
          <w:p>
            <w:pPr>
              <w:spacing w:line="276" w:lineRule="auto" w:after="60"/>
            </w:pPr>
            <w:r>
              <w:rPr>
                <w:rFonts w:ascii="Times New Roman" w:hAnsi="Times New Roman" w:eastAsia="宋体"/>
                <w:sz w:val="20"/>
              </w:rPr>
              <w:t>Left visual acuity: counting fingers; macular yellow-white lesion, hemorrhage and edema; angiographic vascular staining and leakage; retinal detachment involving the macula on optical coherence tomography</w:t>
            </w:r>
          </w:p>
        </w:tc>
        <w:tc>
          <w:tcPr>
            <w:tcW w:type="dxa" w:w="3024"/>
          </w:tcPr>
          <w:p>
            <w:pPr>
              <w:spacing w:line="276" w:lineRule="auto" w:after="60"/>
            </w:pPr>
            <w:r>
              <w:rPr>
                <w:rFonts w:ascii="Times New Roman" w:hAnsi="Times New Roman" w:eastAsia="宋体"/>
                <w:sz w:val="20"/>
              </w:rPr>
              <w:t>Initial diagnosis of retinal vasculitis; subsequently treated with antiviral therapy and topical/periocular corticosteroids</w:t>
            </w:r>
          </w:p>
        </w:tc>
      </w:tr>
      <w:tr>
        <w:tc>
          <w:tcPr>
            <w:tcW w:type="dxa" w:w="3024"/>
          </w:tcPr>
          <w:p>
            <w:pPr>
              <w:spacing w:line="276" w:lineRule="auto" w:after="60"/>
            </w:pPr>
            <w:r>
              <w:rPr>
                <w:rFonts w:ascii="Times New Roman" w:hAnsi="Times New Roman" w:eastAsia="宋体"/>
                <w:sz w:val="20"/>
              </w:rPr>
              <w:t>27 November 2025 (day 3)</w:t>
            </w:r>
          </w:p>
        </w:tc>
        <w:tc>
          <w:tcPr>
            <w:tcW w:type="dxa" w:w="3024"/>
          </w:tcPr>
          <w:p>
            <w:pPr>
              <w:spacing w:line="276" w:lineRule="auto" w:after="60"/>
            </w:pPr>
            <w:r>
              <w:rPr>
                <w:rFonts w:ascii="Times New Roman" w:hAnsi="Times New Roman" w:eastAsia="宋体"/>
                <w:sz w:val="20"/>
              </w:rPr>
              <w:t>Increasing anterior chamber inflammation and vitreous opacity after transient improvement</w:t>
            </w:r>
          </w:p>
        </w:tc>
        <w:tc>
          <w:tcPr>
            <w:tcW w:type="dxa" w:w="3024"/>
          </w:tcPr>
          <w:p>
            <w:pPr>
              <w:spacing w:line="276" w:lineRule="auto" w:after="60"/>
            </w:pPr>
            <w:r>
              <w:rPr>
                <w:rFonts w:ascii="Times New Roman" w:hAnsi="Times New Roman" w:eastAsia="宋体"/>
                <w:sz w:val="20"/>
              </w:rPr>
              <w:t>Intraocular testing or referral recommended</w:t>
            </w:r>
          </w:p>
        </w:tc>
      </w:tr>
      <w:tr>
        <w:tc>
          <w:tcPr>
            <w:tcW w:type="dxa" w:w="3024"/>
          </w:tcPr>
          <w:p>
            <w:pPr>
              <w:spacing w:line="276" w:lineRule="auto" w:after="60"/>
            </w:pPr>
            <w:r>
              <w:rPr>
                <w:rFonts w:ascii="Times New Roman" w:hAnsi="Times New Roman" w:eastAsia="宋体"/>
                <w:sz w:val="20"/>
              </w:rPr>
              <w:t>Between 27 November and 5 December (exact dates unavailable)</w:t>
            </w:r>
          </w:p>
        </w:tc>
        <w:tc>
          <w:tcPr>
            <w:tcW w:type="dxa" w:w="3024"/>
          </w:tcPr>
          <w:p>
            <w:pPr>
              <w:spacing w:line="276" w:lineRule="auto" w:after="60"/>
            </w:pPr>
            <w:r>
              <w:rPr>
                <w:rFonts w:ascii="Times New Roman" w:hAnsi="Times New Roman" w:eastAsia="宋体"/>
                <w:sz w:val="20"/>
              </w:rPr>
              <w:t>Aqueous test reported as negative; method unknown; subsequent progression. At a later referral assessment, left visual acuity was 0.02, with a large posterior pole lesion, satellite lesions and marked vitreous opacity; assessment date unavailable</w:t>
            </w:r>
          </w:p>
        </w:tc>
        <w:tc>
          <w:tcPr>
            <w:tcW w:type="dxa" w:w="3024"/>
          </w:tcPr>
          <w:p>
            <w:pPr>
              <w:spacing w:line="276" w:lineRule="auto" w:after="60"/>
            </w:pPr>
            <w:r>
              <w:rPr>
                <w:rFonts w:ascii="Times New Roman" w:hAnsi="Times New Roman" w:eastAsia="宋体"/>
                <w:sz w:val="20"/>
              </w:rPr>
              <w:t>Intravitreal ganciclovir at an intervening hospital; referral to Tongji Hospital</w:t>
            </w:r>
          </w:p>
        </w:tc>
      </w:tr>
      <w:tr>
        <w:tc>
          <w:tcPr>
            <w:tcW w:type="dxa" w:w="3024"/>
          </w:tcPr>
          <w:p>
            <w:pPr>
              <w:spacing w:line="276" w:lineRule="auto" w:after="60"/>
            </w:pPr>
            <w:r>
              <w:rPr>
                <w:rFonts w:ascii="Times New Roman" w:hAnsi="Times New Roman" w:eastAsia="宋体"/>
                <w:sz w:val="20"/>
              </w:rPr>
              <w:t>5 December 2025 (day 11)</w:t>
            </w:r>
          </w:p>
        </w:tc>
        <w:tc>
          <w:tcPr>
            <w:tcW w:type="dxa" w:w="3024"/>
          </w:tcPr>
          <w:p>
            <w:pPr>
              <w:spacing w:line="276" w:lineRule="auto" w:after="60"/>
            </w:pPr>
            <w:r>
              <w:rPr>
                <w:rFonts w:ascii="Times New Roman" w:hAnsi="Times New Roman" w:eastAsia="宋体"/>
                <w:sz w:val="20"/>
              </w:rPr>
              <w:t>Intraoperative intraocular specimens obtained for pathogen testing</w:t>
            </w:r>
          </w:p>
        </w:tc>
        <w:tc>
          <w:tcPr>
            <w:tcW w:type="dxa" w:w="3024"/>
          </w:tcPr>
          <w:p>
            <w:pPr>
              <w:spacing w:line="276" w:lineRule="auto" w:after="60"/>
            </w:pPr>
            <w:r>
              <w:rPr>
                <w:rFonts w:ascii="Times New Roman" w:hAnsi="Times New Roman" w:eastAsia="宋体"/>
                <w:sz w:val="20"/>
              </w:rPr>
              <w:t>Pars plana vitrectomy with silicone oil tamponade; intraoperative intraocular specimens submitted for testing</w:t>
            </w:r>
          </w:p>
        </w:tc>
      </w:tr>
      <w:tr>
        <w:tc>
          <w:tcPr>
            <w:tcW w:type="dxa" w:w="3024"/>
          </w:tcPr>
          <w:p>
            <w:pPr>
              <w:spacing w:line="276" w:lineRule="auto" w:after="60"/>
            </w:pPr>
            <w:r>
              <w:rPr>
                <w:rFonts w:ascii="Times New Roman" w:hAnsi="Times New Roman" w:eastAsia="宋体"/>
                <w:sz w:val="20"/>
              </w:rPr>
              <w:t>8 December 2025 (day 14)</w:t>
            </w:r>
          </w:p>
        </w:tc>
        <w:tc>
          <w:tcPr>
            <w:tcW w:type="dxa" w:w="3024"/>
          </w:tcPr>
          <w:p>
            <w:pPr>
              <w:spacing w:line="276" w:lineRule="auto" w:after="60"/>
            </w:pPr>
            <w:r>
              <w:rPr>
                <w:rFonts w:ascii="Times New Roman" w:hAnsi="Times New Roman" w:eastAsia="宋体"/>
                <w:sz w:val="20"/>
              </w:rPr>
              <w:t xml:space="preserve">Culture: </w:t>
            </w:r>
            <w:r>
              <w:rPr>
                <w:rFonts w:ascii="Times New Roman" w:hAnsi="Times New Roman" w:eastAsia="宋体"/>
                <w:i/>
                <w:sz w:val="20"/>
              </w:rPr>
              <w:t>A. flavus</w:t>
            </w:r>
            <w:r>
              <w:rPr>
                <w:rFonts w:ascii="Times New Roman" w:hAnsi="Times New Roman" w:eastAsia="宋体"/>
                <w:sz w:val="20"/>
              </w:rPr>
              <w:t xml:space="preserve">; targeted sequencing: </w:t>
            </w:r>
            <w:r>
              <w:rPr>
                <w:rFonts w:ascii="Times New Roman" w:hAnsi="Times New Roman" w:eastAsia="宋体"/>
                <w:i/>
                <w:sz w:val="20"/>
              </w:rPr>
              <w:t>A. flavus</w:t>
            </w:r>
            <w:r>
              <w:rPr>
                <w:rFonts w:ascii="Times New Roman" w:hAnsi="Times New Roman" w:eastAsia="宋体"/>
                <w:sz w:val="20"/>
              </w:rPr>
              <w:t xml:space="preserve"> complex, sequence count 8,361, relative abundance 85.1% within the report's fungal category</w:t>
            </w:r>
          </w:p>
        </w:tc>
        <w:tc>
          <w:tcPr>
            <w:tcW w:type="dxa" w:w="3024"/>
          </w:tcPr>
          <w:p>
            <w:pPr>
              <w:spacing w:line="276" w:lineRule="auto" w:after="60"/>
            </w:pPr>
            <w:r>
              <w:rPr>
                <w:rFonts w:ascii="Times New Roman" w:hAnsi="Times New Roman" w:eastAsia="宋体"/>
                <w:sz w:val="20"/>
              </w:rPr>
              <w:t>Etiological diagnosis supported; oral voriconazole 200 mg twice daily documented, exact start date to be confirmed</w:t>
            </w:r>
          </w:p>
        </w:tc>
      </w:tr>
      <w:tr>
        <w:tc>
          <w:tcPr>
            <w:tcW w:type="dxa" w:w="3024"/>
          </w:tcPr>
          <w:p>
            <w:pPr>
              <w:spacing w:line="276" w:lineRule="auto" w:after="60"/>
            </w:pPr>
            <w:r>
              <w:rPr>
                <w:rFonts w:ascii="Times New Roman" w:hAnsi="Times New Roman" w:eastAsia="宋体"/>
                <w:sz w:val="20"/>
              </w:rPr>
              <w:t>9 December 2025 (day 15)</w:t>
            </w:r>
          </w:p>
        </w:tc>
        <w:tc>
          <w:tcPr>
            <w:tcW w:type="dxa" w:w="3024"/>
          </w:tcPr>
          <w:p>
            <w:pPr>
              <w:spacing w:line="276" w:lineRule="auto" w:after="60"/>
            </w:pPr>
            <w:r>
              <w:rPr>
                <w:rFonts w:ascii="Times New Roman" w:hAnsi="Times New Roman" w:eastAsia="宋体"/>
                <w:sz w:val="20"/>
              </w:rPr>
              <w:t>Postoperative antifungal treatment</w:t>
            </w:r>
          </w:p>
        </w:tc>
        <w:tc>
          <w:tcPr>
            <w:tcW w:type="dxa" w:w="3024"/>
          </w:tcPr>
          <w:p>
            <w:pPr>
              <w:spacing w:line="276" w:lineRule="auto" w:after="60"/>
            </w:pPr>
            <w:r>
              <w:rPr>
                <w:rFonts w:ascii="Times New Roman" w:hAnsi="Times New Roman" w:eastAsia="宋体"/>
                <w:sz w:val="20"/>
              </w:rPr>
              <w:t>Intravitreal voriconazole; dose and volume to be confirmed</w:t>
            </w:r>
          </w:p>
        </w:tc>
      </w:tr>
      <w:tr>
        <w:tc>
          <w:tcPr>
            <w:tcW w:type="dxa" w:w="3024"/>
          </w:tcPr>
          <w:p>
            <w:pPr>
              <w:spacing w:line="276" w:lineRule="auto" w:after="60"/>
            </w:pPr>
            <w:r>
              <w:rPr>
                <w:rFonts w:ascii="Times New Roman" w:hAnsi="Times New Roman" w:eastAsia="宋体"/>
                <w:sz w:val="20"/>
              </w:rPr>
              <w:t>24 December 2025 (day 30)</w:t>
            </w:r>
          </w:p>
        </w:tc>
        <w:tc>
          <w:tcPr>
            <w:tcW w:type="dxa" w:w="3024"/>
          </w:tcPr>
          <w:p>
            <w:pPr>
              <w:spacing w:line="276" w:lineRule="auto" w:after="60"/>
            </w:pPr>
            <w:r>
              <w:rPr>
                <w:rFonts w:ascii="Times New Roman" w:hAnsi="Times New Roman" w:eastAsia="宋体"/>
                <w:sz w:val="20"/>
              </w:rPr>
              <w:t>Left visual acuity: counting fingers; intraocular pressure: 9.5 mmHg; persistent inflammation, macular changes and shallow retinal detachment; alanine aminotransferase 106 U/L</w:t>
            </w:r>
          </w:p>
        </w:tc>
        <w:tc>
          <w:tcPr>
            <w:tcW w:type="dxa" w:w="3024"/>
          </w:tcPr>
          <w:p>
            <w:pPr>
              <w:spacing w:line="276" w:lineRule="auto" w:after="60"/>
            </w:pPr>
            <w:r>
              <w:rPr>
                <w:rFonts w:ascii="Times New Roman" w:hAnsi="Times New Roman" w:eastAsia="宋体"/>
                <w:sz w:val="20"/>
              </w:rPr>
              <w:t>Further intravitreal voriconazole and discharge; later follow-up unavailable</w:t>
            </w:r>
          </w:p>
        </w:tc>
      </w:tr>
    </w:tbl>
    <w:p/>
    <w:p>
      <w:pPr>
        <w:pStyle w:val="Heading1"/>
      </w:pPr>
      <w:r>
        <w:rPr>
          <w:rFonts w:ascii="Times New Roman" w:hAnsi="Times New Roman" w:eastAsia="宋体"/>
          <w:sz w:val="28"/>
        </w:rPr>
        <w:t>Figure legends: proposed image plan, not final submission figures</w:t>
      </w:r>
    </w:p>
    <w:p>
      <w:r>
        <w:rPr>
          <w:rFonts w:ascii="Times New Roman" w:hAnsi="Times New Roman" w:eastAsia="宋体"/>
          <w:color w:val="B22222"/>
          <w:sz w:val="24"/>
        </w:rPr>
        <w:t>[EDITORIAL NOTE: No figure has been inserted or cited as an existing numbered panel. The two planned figures derive from images dated 6 December 2025, one day after the documented vitrectomy. They are not initial-presentation or 24 December images. Obtain de-identified original images and clinical author confirmation before inserting final panels and in-text callouts.]</w:t>
      </w:r>
    </w:p>
    <w:p>
      <w:r>
        <w:rPr>
          <w:rFonts w:ascii="Times New Roman" w:hAnsi="Times New Roman" w:eastAsia="宋体"/>
          <w:b/>
          <w:sz w:val="24"/>
        </w:rPr>
        <w:t>Proposed Figure 1. Left-eye fundus findings on 6 December 2025, postoperative day 1.</w:t>
      </w:r>
      <w:r>
        <w:rPr>
          <w:rFonts w:ascii="Times New Roman" w:hAnsi="Times New Roman" w:eastAsia="宋体"/>
          <w:sz w:val="24"/>
        </w:rPr>
        <w:t xml:space="preserve"> </w:t>
      </w:r>
      <w:r>
        <w:rPr>
          <w:rFonts w:ascii="Times New Roman" w:hAnsi="Times New Roman" w:eastAsia="宋体"/>
          <w:color w:val="B22222"/>
          <w:sz w:val="24"/>
        </w:rPr>
        <w:t>[TO COMPLETE: Use the original source corresponding to image6 from the supplied manuscript; confirm laterality, acquisition date and visible clinical findings, then provide a panel-specific legend. The image must not be described as documenting the initial presentation on 24 November. Supply a de-identified original at the journal's required resolution.]</w:t>
      </w:r>
    </w:p>
    <w:p>
      <w:r>
        <w:rPr>
          <w:rFonts w:ascii="Times New Roman" w:hAnsi="Times New Roman" w:eastAsia="宋体"/>
          <w:b/>
          <w:sz w:val="24"/>
        </w:rPr>
        <w:t>Proposed Figure 2. Left-eye macular optical coherence tomography on 6 December 2025, postoperative day 1.</w:t>
      </w:r>
      <w:r>
        <w:rPr>
          <w:rFonts w:ascii="Times New Roman" w:hAnsi="Times New Roman" w:eastAsia="宋体"/>
          <w:sz w:val="24"/>
        </w:rPr>
        <w:t xml:space="preserve"> </w:t>
      </w:r>
      <w:r>
        <w:rPr>
          <w:rFonts w:ascii="Times New Roman" w:hAnsi="Times New Roman" w:eastAsia="宋体"/>
          <w:color w:val="B22222"/>
          <w:sz w:val="24"/>
        </w:rPr>
        <w:t>[TO COMPLETE: The composite source image2 contains right-eye scans in its upper portion and left-eye scans in its lower portion. The proposed panels are the two lower left-eye scans only, subject to confirmation against the original acquisition and by the clinical authors. Provide de-identified originals, scan orientation and a verified description of the depicted findings. Do not use the anterior segment optical coherence tomography images (image8/image9) as macular images or as evidence of subsequent left macular progression.]</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777777"/>
        <w:sz w:val="16"/>
      </w:rPr>
      <w:t>ALTERNATIVE SUBMISSION DRAFT | Author queries require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Aspergillus flavus endophthalmitis initially diagnosed as retinal vasculitis: a case report</dc:title>
  <dc:subject>Case report submission working draft</dc:subject>
  <dc:creator>聂圣琼；占宇姝；靳鹍</dc:creator>
  <cp:keywords>endophthalmitis; case report; alternative submission draft</cp:keywords>
  <dc:description>Clinical details and unresolved author queries require final author verification.</dc:description>
  <cp:lastModifiedBy/>
  <cp:revision>1</cp:revision>
  <dcterms:created xsi:type="dcterms:W3CDTF">2013-12-23T23:15:00Z</dcterms:created>
  <dcterms:modified xsi:type="dcterms:W3CDTF">2013-12-23T23:15:00Z</dcterms:modified>
  <cp:category/>
</cp:coreProperties>
</file>