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32"/>
        </w:rPr>
        <w:t>期刊建议与投稿前核对清单</w:t>
      </w:r>
    </w:p>
    <w:p>
      <w:r>
        <w:rPr>
          <w:rFonts w:ascii="Times New Roman" w:hAnsi="Times New Roman" w:eastAsia="宋体"/>
          <w:sz w:val="24"/>
        </w:rPr>
        <w:t>整理日期：2026年10月23日。病例：初诊为视网膜血管炎的黄曲霉性眼内炎。中、英文稿为同一病例的备选版本，按作者已确认的方案择一首投。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建议如何选择</w:t>
      </w:r>
    </w:p>
    <w:p>
      <w:r>
        <w:rPr>
          <w:rFonts w:ascii="Times New Roman" w:hAnsi="Times New Roman" w:eastAsia="宋体"/>
          <w:sz w:val="24"/>
        </w:rPr>
        <w:t>中文优先候选：《中华眼视光学与视觉科学杂志（中英文）》，病例报告。依据是作者提供的该刊2025年第27卷第11期873–876页《肺曲霉菌病合并内源性真菌性眼内炎1例》完整PDF：可以直接确认该刊曾发表同类眼科病例，以及其病例叙述、讨论、声明、参考文献及中英文图注样式。本次中文稿按这一已发表样式整理。它不能替代2026年的现行稿约。</w:t>
      </w:r>
    </w:p>
    <w:p>
      <w:r>
        <w:rPr>
          <w:rFonts w:ascii="Times New Roman" w:hAnsi="Times New Roman" w:eastAsia="宋体"/>
          <w:sz w:val="24"/>
        </w:rPr>
        <w:t>英文优先候选：BMC Ophthalmology，拟按Case report准备。眼科专业范围与稿件相符，已有的BMC病例报告结构也便于充分展示诊断经过、病原学证据与局限。当前稿按其长期使用的结构制作，但官网现行接收政策、费用及Clarivate当前索引尚未核验，不能把本稿称为“已完全满足最新SCI期刊要求”。</w:t>
      </w:r>
    </w:p>
    <w:p>
      <w:r>
        <w:rPr>
          <w:rFonts w:ascii="Times New Roman" w:hAnsi="Times New Roman" w:eastAsia="宋体"/>
          <w:sz w:val="24"/>
        </w:rPr>
        <w:t>本例较适合强调“视网膜血管炎样初始表现，以及培养与靶向测序相符的诊断过程”。不宜以“首例”“免疫功能正常”“已证实肺源播散”或“联合治疗成功”为卖点。作者提供的相似病例已有较完整病因评估或更长期随访，因此补齐本例治疗和结局资料，比单纯扩写讨论更有助于投稿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候选期刊比较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候选期刊</w:t>
            </w:r>
          </w:p>
        </w:tc>
        <w:tc>
          <w:tcPr>
            <w:tcW w:type="dxa" w:w="2268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优先程度与匹配理由</w:t>
            </w:r>
          </w:p>
        </w:tc>
        <w:tc>
          <w:tcPr>
            <w:tcW w:type="dxa" w:w="2268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本次实际核验范围</w:t>
            </w:r>
          </w:p>
        </w:tc>
        <w:tc>
          <w:tcPr>
            <w:tcW w:type="dxa" w:w="2268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投稿前仍需核实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中华眼视光学与视觉科学杂志（中英文）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中文优先；有2025年同类真菌眼内炎病例报告实刊依据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已读附件原刊PDF，确认栏目和实刊样式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当前是否接收单病例，篇幅、摘要、图表、文献上限，收费及官方投稿入口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中华眼底病杂志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中文备选；眼底感染、炎症及玻切主题匹配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专业方向及附件引用中的历史病例线索；未读现行稿约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现行病例栏目、创新性及格式要求，不宜直接套用本次中文稿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中华眼科杂志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中文进一步备选；综合眼科范围相符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专业范围判断；未核实现行单病例接收政策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是否接收单病例、栏目、篇幅与创新性要求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BMC Ophthalmology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英文优先候选；眼科诊断与治疗经过匹配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按长期已知病例结构制作备选稿，未读到当前官网正文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当前Case report政策、全部格式、SCIE收录状态、APC及减免条件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BMC Infectious Diseases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英文备选；若能补充感染源评估与病原学细节，更能支持其感染学定位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仅作候选，未完成现行指南核验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病例接收政策、专业适配、SCIE与费用；现稿不能直接改刊名即投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Frontiers in Medicine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英文备选；需确认眼科相关专业栏目是否仍接收Case Report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仅作候选，未完成当前栏目及稿型核验</w:t>
            </w:r>
          </w:p>
        </w:tc>
        <w:tc>
          <w:tcPr>
            <w:tcW w:type="dxa" w:w="2268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具体栏目、接收稿型、当前字数与图表限制、SCIE与APC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没有填写未经核实的影响因子、分区、接受率、审稿周期或收费数字。中文刊也不能默认免收费用。SCI目标应核对Clarivate是否明确列入Science Citation Index Expanded（SCIE）；PubMed、Scopus收录或拥有影响因子，均不能单独证明属于SCIE。American Journal of Ophthalmology Case Reports、Case Reports in Ophthalmology、BMJ Case Reports等即使题材匹配，本次也不作为已确认的SCI推荐。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实际采用的稿件格式与依据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中文备选稿</w:t>
            </w:r>
          </w:p>
        </w:tc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英文备选稿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结构依据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作者提供的目标中文刊2025年病例报告实刊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BMC长期使用的病例报告结构；现行官网待复核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首页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题名、作者、单位、第一作者和通讯作者信息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Title、authors、affiliations、corresponding author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摘要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仿实刊正文不附摘要；另备可选摘要及关键词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Background / Case presentation / Conclusions结构摘要，控制在350词以内；5个关键词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正文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病例资料；讨论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Background；Case presentation；Discussion and conclusions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文后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同意、伦理、利益冲突、基金、贡献；参考文献；中英文图注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Abbreviations；Declarations各分项；References；timeline table；Figure legends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文献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4篇实际阅读附件，顺序编码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同样4篇实际阅读资料，按英文稿引文顺序编号；中文文献注明in Chinese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图表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两幅术后第1天图位与图注，尚未插入含身份原图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一张临床时间线表；两幅术后第1天图位，待原始匿名图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编辑排版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A4、约2.5 cm页边距、中文宋体12 pt、页码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A4、约2.5 cm页边距、Times New Roman 12 pt、双倍行距、连续行号及页码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上述字体、行距和版面是便于审阅的编辑设置，不是已核实的期刊硬性要求。方括号及红色文字是作者核实项；解答后应删除或替换，再完成一次终稿检查。文献数量是根据当前可核实资料选择的，并非期刊允许上限；没有为凑数量加入未读论文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已确认的信息</w:t>
      </w:r>
    </w:p>
    <w:p>
      <w:r>
        <w:rPr>
          <w:rFonts w:ascii="Times New Roman" w:hAnsi="Times New Roman" w:eastAsia="宋体"/>
          <w:sz w:val="24"/>
        </w:rPr>
        <w:t>作者顺序按本次说明整理为聂圣琼、占宇姝、靳鹍；通讯作者靳鹍。聂圣琼与靳鹍单位为宜昌市中心人民医院，占宇姝单位为三峡职业技术学院附属医院。作者已确认取得病例及图片发表的书面同意，故两稿均已写入该声明。</w:t>
      </w:r>
    </w:p>
    <w:p>
      <w:r>
        <w:rPr>
          <w:rFonts w:ascii="Times New Roman" w:hAnsi="Times New Roman" w:eastAsia="宋体"/>
          <w:sz w:val="24"/>
        </w:rPr>
        <w:t>英文姓名暂排为Shengqiong Nie、Yushu Zhan、Kun Jin，仍须本人确认拼写及既往发表用名；单位英文名称亦须确认。尤其第二单位的官方英文名称不能仅凭中文直译定稿。科室、邮政编码、邮箱、基金、利益冲突、作者贡献及机构伦理要求尚未确认。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投稿前优先补齐的资料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1. 最新随访：2025年12月24日之后的最近一次检查日期、视力、眼压、前房及玻璃体炎症、眼底/视网膜状态、是否复发或再次手术。当前仅能报告短期结局，不能写治愈。若无随访，如实说明原因，不补造。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2. 真实用药记录：两次及其他可能存在的眼内伏立康唑剂量、体积、次数、间隔；口服起止日期、有无负荷量或血药浓度监测；硅油填充眼的具体注射记录。初期眼内更昔洛韦、球旁曲安奈德的剂量与时点也需补充。不得把指南或其他病例的剂量填入本例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3. 标本来源：原稿称玻璃体液，但培养单标“组织”，tNGS单标“抽吸液”。需核对手术记录及送检登记，说明各自实际取材部位、是否同次取样。未确认前两稿采用“术中眼内标本”，并保留提示。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4. 影像日期与眼别：现有多张后节检查图为2025年12月6日，属于12月5日手术后第1天；并非11月24日初诊。原稿12月24日OCT写“右眼”，不可直接改为左眼，应回查原报告。现有image8、image9是眼前节OCT，不是黄斑OCT。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5. 原始匿名图：优先提供12月6日左眼眼底及左眼黄斑OCT原始导出图；如有11月24日初诊、12月24日及最新复查图，可在核对后用于真实的动态比较。去除姓名、编号、床号、二维码等信息，保留病变像素、方向与必要尺度。现有整页报告截图分辨率有限，不能靠改为300 dpi或生成式修补创造细节。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6. 检验与系统评估：补已实际完成的血培养、真菌标志物、免疫/糖代谢检查及眼外感染灶评估；未做或不明者如实写明。外院“房水阴性”的检测名称、方法、日期及原结果需核实。没有证据不能写肺曲霉菌病、真菌血症或免疫健全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7. 病原学细节：可补培养鉴定方法、镜检、药敏及tNGS方法/质控。现有培养报告虽在项目名中含“药敏”，但没有药物MIC或敏感结论，不能写伏立康唑敏感。tNGS的8 361为序列数、85.1%为真菌类别内相对丰度，已有原报告依据，不是感染概率或绝对菌量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8. 肝功能：ALT为53 U/L后升至106 U/L，需参考区间、其他肝功能、监测与实际处理。不能仅据此确定伏立康唑所致肝损伤。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9. 投稿信息：各作者邮箱、科室、城市邮编、英文拼写、基金、利益冲突和实际贡献；单病例的伦理审批/豁免须按医院政策确认。书面发表同意不等于伦理审查豁免。</w:t>
      </w:r>
    </w:p>
    <w:p>
      <w:pPr>
        <w:ind w:left="397" w:hanging="397"/>
      </w:pPr>
      <w:r>
        <w:rPr>
          <w:rFonts w:ascii="Times New Roman" w:hAnsi="Times New Roman" w:eastAsia="宋体"/>
          <w:sz w:val="24"/>
        </w:rPr>
        <w:t>10. 期刊与费用：确认英文APC预算，复核官网当前稿约及SCIE状态后选择首投。两稿不能同时作为未发表原创稿投出；若一稿退稿后改投，需按另一刊要求再排版。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图版核对表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原稿图片</w:t>
            </w:r>
          </w:p>
        </w:tc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可辨认内容</w:t>
            </w:r>
          </w:p>
        </w:tc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使用建议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image1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12月6日眼部超声，左眼硅油填充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可按需要作为术后辅助图；不能作为初诊图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image2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12月6日双眼黄斑OCT，上两幅OD、下两幅OS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左眼下方扫描为拟用图2；需设备原图和专科图注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image3、image4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12月5日取样、12月8日审核，培养检出黄曲霉，标本写组织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文字报告结果即可；不必整页发表，不据项目名推断药敏结果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image5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靶向捕获NGS，标本写抽吸液；黄曲霉复合群8 361、85.1%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已准确转述数值与分母定义；具体解剖来源待核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image6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12月6日左眼超广角眼底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拟用图1，按术后第1天标注，待原图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image7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12月6日双眼前节照片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可选，不用于量化前房炎症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image8、image9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分别为OD、OS眼前节OCT，细小日期不清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不作黄斑图，不用于证明12月24日黄斑进展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本次未改动原始医学图像，未使用生成式方式修补病灶，未把含个人识别信息的整页报告嵌入新稿。当前交付的两份Word稿保留图位；取得合格原图后才可完成正式图版。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CARE报告要素自查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报告要素</w:t>
            </w:r>
          </w:p>
        </w:tc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当前情况</w:t>
            </w:r>
          </w:p>
        </w:tc>
        <w:tc>
          <w:tcPr>
            <w:tcW w:type="dxa" w:w="3024"/>
            <w:shd w:fill="EDEFF2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b/>
                <w:sz w:val="20"/>
              </w:rPr>
              <w:t>对应位置或动作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标题明确病例类型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英文含a case report，中文为一例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两稿题名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主要症状、病史及查体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已整理，未捏造免疫检测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病例资料/Case presentation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时间线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英文已制表，中文按日期叙述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英文Table 1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诊断方法及挑战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已描述，样本来源与外院阴性方法待核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术中取样、培养与tNGS段落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治疗干预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已列已知药物与术式，实际剂量/疗程缺失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按真实医嘱补齐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随访、疗效和不良事件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仅至12月24日，未写治愈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补最近随访、肝酶处理等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讨论与局限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已说明鉴别、病原证据、传播途径和短随访局限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讨论/Discussion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患者观点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尚未提供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若目标刊要求，可由患者自述后准确记录；不能代写体验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发表知情同意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作者已确认，已写入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两稿声明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作者、伦理及利益申明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部分待补</w:t>
            </w:r>
          </w:p>
        </w:tc>
        <w:tc>
          <w:tcPr>
            <w:tcW w:type="dxa" w:w="3024"/>
          </w:tcPr>
          <w:p>
            <w:pPr>
              <w:spacing w:line="276" w:lineRule="auto" w:after="60"/>
            </w:pPr>
            <w:r>
              <w:rPr>
                <w:rFonts w:ascii="Times New Roman" w:hAnsi="Times New Roman" w:eastAsia="宋体"/>
                <w:sz w:val="20"/>
              </w:rPr>
              <w:t>标题页和Declarations</w:t>
            </w:r>
          </w:p>
        </w:tc>
      </w:tr>
    </w:tbl>
    <w:p/>
    <w:p>
      <w:r>
        <w:rPr>
          <w:rFonts w:ascii="Times New Roman" w:hAnsi="Times New Roman" w:eastAsia="宋体"/>
          <w:sz w:val="24"/>
        </w:rPr>
        <w:t>这是一份工作自查，不冒充已填写并经作者签署的官方CARE表；目标刊如要求官方清单，应在最终页码确定后另填。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官方核验入口与访问限制</w:t>
      </w:r>
    </w:p>
    <w:p>
      <w:r>
        <w:rPr>
          <w:rFonts w:ascii="Times New Roman" w:hAnsi="Times New Roman" w:eastAsia="宋体"/>
          <w:sz w:val="24"/>
        </w:rPr>
        <w:t>以下列出核验目标，不能把未读到的网页称作本次已核实资料：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BMC Ophthalmology病例稿准备页：https://bmcophthalmol.biomedcentral.com/submission-guidelines/preparing-your-manuscript/case-report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BMC Ophthalmology费用页：https://bmcophthalmol.biomedcentral.com/submission-guidelines/fees-and-funding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Springer期刊指南入口：https://link.springer.com/journal/12886/submission-guidelines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BMC Infectious Diseases病例稿准备页：https://bmcinfectdis.biomedcentral.com/submission-guidelines/preparing-your-manuscript/case-report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Frontiers in Medicine稿型入口：https://www.frontiersin.org/journals/medicine/for-authors/article-types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Clarivate Master Journal List：https://mjl.clarivate.com/home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ICMJE重叠发表政策：https://www.icmje.org/recommendations/browse/publishing-and-editorial-issues/overlapping-publications.html</w:t>
      </w:r>
    </w:p>
    <w:p>
      <w:pPr>
        <w:ind w:left="227" w:hanging="170"/>
      </w:pPr>
      <w:r>
        <w:rPr>
          <w:rFonts w:ascii="Times New Roman" w:hAnsi="Times New Roman" w:eastAsia="宋体"/>
          <w:sz w:val="24"/>
        </w:rPr>
        <w:t>• 中华医学期刊网根入口：https://www.yiigle.com/；中华医学会稿件系统根入口：https://cma-cmcis.cma.org.cn/。当前未验证具体刊物的投稿细页，勿使用搜索广告中的代投网址。</w:t>
      </w:r>
    </w:p>
    <w:p>
      <w:r>
        <w:rPr>
          <w:rFonts w:ascii="Times New Roman" w:hAnsi="Times New Roman" w:eastAsia="宋体"/>
          <w:sz w:val="24"/>
        </w:rPr>
        <w:t>2026年10月22日至23日，本环境对相关官方站点的请求被现有网络代理以CONNECT 403拒绝；这不是期刊拒稿，也不能推断其稿约内容。已保存新增访问需求的环境配置草稿，未改动仓库、安装脚本或启动指令。保存草稿不等于运行网络已开放；若要在此环境继续实时核验，需要在环境设置中审阅、保存并发布相关网络配置，再重试访问。</w:t>
      </w:r>
    </w:p>
    <w:p>
      <w:r>
        <w:rPr>
          <w:rFonts w:ascii="Times New Roman" w:hAnsi="Times New Roman" w:eastAsia="宋体"/>
          <w:sz w:val="24"/>
        </w:rPr>
        <w:t>草稿新增域名为：bmcophthalmol.biomedcentral.com、bmcinfectdis.biomedcentral.com、link.springer.com、www.frontiersin.org、mjl.clarivate.com、www.icmje.org、cma-cmcis.cma.org.cn、www.yiigle.com、rs.yiigle.com、www.cjoovs.com、www.cma.org.cn。原有包管理器网络预设予以保留。尚未成功读取这些站点的现行作者指南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同一病例的中英文版本</w:t>
      </w:r>
    </w:p>
    <w:p>
      <w:r>
        <w:rPr>
          <w:rFonts w:ascii="Times New Roman" w:hAnsi="Times New Roman" w:eastAsia="宋体"/>
          <w:sz w:val="24"/>
        </w:rPr>
        <w:t>本次已按作者选择，制作供择一首投的两种语言版本。同一病例仅翻译、改标题或调整讨论重点，通常仍属重叠内容，不能当成两项独立原创研究。若未来确需另一语言二次发表，须事先向两刊披露并取得许可，满足首次发表优先、明确标注二次发表、引用原文及版权等要求；本次没有取得任何期刊的此类许可，也没有代为投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color w:val="777777"/>
        <w:sz w:val="16"/>
      </w:rPr>
      <w:t>备选投稿工作稿｜红色及方括号内容请核实后删除或替换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期刊建议与投稿前核对清单</dc:title>
  <dc:subject>Case report submission working draft</dc:subject>
  <dc:creator>Manuscript preparation materials</dc:creator>
  <cp:keywords>endophthalmitis; case report; alternative submission draft</cp:keywords>
  <dc:description>Clinical details and unresolved author queries require final author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