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青光眼指南整合与原门诊模板审阅意见</w:t>
      </w:r>
    </w:p>
    <w:p>
      <w:r>
        <w:t>以7份上传指南/共识与用户原稿逐项对照｜PDF页码定位｜临床审核待完成</w:t>
      </w:r>
    </w:p>
    <w:p>
      <w:pPr>
        <w:pStyle w:val="Heading1"/>
      </w:pPr>
      <w:r>
        <w:t>结论</w:t>
      </w:r>
    </w:p>
    <w:p>
      <w:r>
        <w:t>建议补充，但优先修正模板的使用逻辑，而不是简单增加检查项目。原稿适合保留为七个基本栏目；应把“常规初诊/慢性复诊”和“急性闭角急诊”分开，取消预置阴性病史、固定异常查体及统一“3天复查”。本次提供审阅说明、常规门诊修订版和急性闭角急诊附页三份Word。</w:t>
      </w:r>
    </w:p>
    <w:p>
      <w:pPr>
        <w:pStyle w:val="Heading1"/>
      </w:pPr>
      <w:r>
        <w:t>整合方法与范围</w:t>
      </w:r>
    </w:p>
    <w:p>
      <w:r>
        <w:t>以你上传的《青光眼模板.docx》为逐项审阅对象；七份资料按适用人群及临床场景分层整合。页码均指上传PDF的物理页码，不是统一的期刊印刷页码。未把七份文件逐字拼接，也未将较新文件视为自动替代所有旧文件。EGS为相关章节核对，非全书逐条系统评价。以下建议为病历记录优化，尚需本机构青光眼专科审核。</w:t>
      </w:r>
    </w:p>
    <w:p>
      <w:pPr>
        <w:pStyle w:val="Heading1"/>
      </w:pPr>
      <w:r>
        <w:t>1. 把三个就诊场景分开选择，而不是同时保留</w:t>
      </w:r>
    </w:p>
    <w:p>
      <w:r>
        <w:t>原稿同时提供急性疼痛5天、检查发现异常和既往青光眼复诊的主诉/现病史。建议改为“本次场景：[急性症状/初次评估/已确诊复诊]”，仅保留实际适用的一段，病程改为填写项。稳定慢性患者不能套用混合充血、角膜水肿、瞳孔散大等急性体征。</w:t>
      </w:r>
    </w:p>
    <w:p>
      <w:r>
        <w:t>依据：A第4、6—8页；C第1—2页；G第2—3页。</w:t>
      </w:r>
    </w:p>
    <w:p>
      <w:pPr>
        <w:pStyle w:val="Heading1"/>
      </w:pPr>
      <w:r>
        <w:t>2. 最先修正统一“3天复查”</w:t>
      </w:r>
    </w:p>
    <w:p>
      <w:r>
        <w:t>原稿急性段已包含眼痛、眼红、虹视、头痛及恶心呕吐，若当前仍有急性闭角可能，不应仅给予一般降压后约3天回来。需立即评估与处置，记录当次疗效、后续复测及去向。稳定慢性患者也不应无差别固定3天复查。</w:t>
      </w:r>
    </w:p>
    <w:p>
      <w:r>
        <w:t>建议替换：“急性疑似发作：即刻专科处理/急诊转诊，并记录处理前后眼压与时间；常规复诊：按是否达到目标眼压、有无进展、治疗变化和风险确定日期。”</w:t>
      </w:r>
    </w:p>
    <w:p>
      <w:r>
        <w:t>依据：C第2页；A第15—18页；B第4—5页。</w:t>
      </w:r>
    </w:p>
    <w:p>
      <w:pPr>
        <w:pStyle w:val="Heading1"/>
      </w:pPr>
      <w:r>
        <w:t>3. 将既往史与过敏史拆开，取消预先填写“否认”</w:t>
      </w:r>
    </w:p>
    <w:p>
      <w:r>
        <w:t>原稿把药物过敏写在既往史中，且默认否认家族史、全身疾病、外伤、手术及其他用药。应逐项记录有、无、不详或未询问；不能把未核实资料当成阴性。增加既往最高/未治疗眼压、确诊类型、激光/手术眼别及时间、药物不耐受和现用全部药物。</w:t>
      </w:r>
    </w:p>
    <w:p>
      <w:r>
        <w:t>依据：A第7—8页、1.3.1及1.4.2；G第2—3页；B第4—5页。占位符与未询问标记为本次记录设计。</w:t>
      </w:r>
    </w:p>
    <w:p>
      <w:pPr>
        <w:pStyle w:val="Heading1"/>
      </w:pPr>
      <w:r>
        <w:t>4. 左右眼分开写，不默认双眼相同</w:t>
      </w:r>
    </w:p>
    <w:p>
      <w:r>
        <w:t>两段查体均以“双眼”起句并预填固定瞳孔直径、晶状体混浊等。应分别记录眼别、前房/瞳孔/房角和视神经；只有经检查确实相同才合并描述。眼底窥不入者写明原因，待可视后补充评估，不能同时填入未能观察到的C/D或其他视盘结论。</w:t>
      </w:r>
    </w:p>
    <w:p>
      <w:r>
        <w:t>依据：G第2—3、7页；A第6—7、15—16页。</w:t>
      </w:r>
    </w:p>
    <w:p>
      <w:pPr>
        <w:pStyle w:val="Heading1"/>
      </w:pPr>
      <w:r>
        <w:t>5. 房角应记录检查方法、范围和机制</w:t>
      </w:r>
    </w:p>
    <w:p>
      <w:r>
        <w:t>单写“房角狭窄/关闭”不够。增加静态及必要时动态房角镜所见、各象限开放程度、虹膜小梁网接触范围、周边虹膜前粘连（PAS）范围和可否压开。裂隙灯周边前房深度评估是线索，不能直接等同房角镜诊断。UBM/前节OCT可帮助判断虹膜、晶状体和睫状体机制，通常不能代替房角镜。急性期角膜水肿无法检查时，记录限制及替代评估/补查计划，不应为等检查而延误处置。</w:t>
      </w:r>
    </w:p>
    <w:p>
      <w:r>
        <w:t>依据：F第20页；G第2、5页；E第2页；C第1页。</w:t>
      </w:r>
    </w:p>
    <w:p>
      <w:pPr>
        <w:pStyle w:val="Heading1"/>
      </w:pPr>
      <w:r>
        <w:t>6. 不以“C/D=0.6”单独判断青光眼或分期</w:t>
      </w:r>
    </w:p>
    <w:p>
      <w:r>
        <w:t>原稿第二段把视盘色淡和C/D=0.6作为固定结果。应增加视盘大小、垂直杯盘比、盘沿变窄/切迹、盘缘出血、RNFL缺损及双眼差异，并与视野对应。大视盘可有较大生理杯，小视盘的损伤也可被漏判；C/D一个数字不能决定确诊、分期或进展。明显苍白与杯凹不相称时，应按情况考虑其他视神经病变。</w:t>
      </w:r>
    </w:p>
    <w:p>
      <w:r>
        <w:t>依据：F第74—75页；G第2—3、8页。</w:t>
      </w:r>
    </w:p>
    <w:p>
      <w:pPr>
        <w:pStyle w:val="Heading1"/>
      </w:pPr>
      <w:r>
        <w:t>7. 眼压增加方法、时间、基线和近期用药</w:t>
      </w:r>
    </w:p>
    <w:p>
      <w:r>
        <w:t>原稿只留下左右眼眼压数值，尚不能判断“控制平稳”。建议记录测量方法/时间、治疗前基线或既往最高眼压、测量前最近用药时间，必要时注明重复测量或波动资料来源。随访尽量采用可比较的方法。不能仅因单次眼压在统计正常范围就认为无青光眼或没有进展。</w:t>
      </w:r>
    </w:p>
    <w:p>
      <w:r>
        <w:t>依据：A第6—7、15页；F第18—19页；G第3、7—8页。</w:t>
      </w:r>
    </w:p>
    <w:p>
      <w:pPr>
        <w:pStyle w:val="Heading1"/>
      </w:pPr>
      <w:r>
        <w:t>8. 增加逐眼目标眼压及调整依据</w:t>
      </w:r>
    </w:p>
    <w:p>
      <w:r>
        <w:t>左右眼分别记录目标眼压上限或范围、制定日期/依据、是否达标，以及本次是否需要调整。目标结合基线眼压、损伤程度、进展速度、预期寿命和治疗负担，不能把21 mmHg作为所有人的安全线，也不能把某一分期的示例目标机械套给每位患者。</w:t>
      </w:r>
    </w:p>
    <w:p>
      <w:r>
        <w:t>依据：G第7—8页；F第19、129—133页；B第2、4页。</w:t>
      </w:r>
    </w:p>
    <w:p>
      <w:pPr>
        <w:pStyle w:val="Heading1"/>
      </w:pPr>
      <w:r>
        <w:t>9. 保留CCT，但不要使用简单“校正眼压”公式</w:t>
      </w:r>
    </w:p>
    <w:p>
      <w:r>
        <w:t>中央角膜厚度用于解释测量和风险背景；增加测量值、方法和屈光手术史。EGS明确不推荐按CCT校正的眼压数值，不能因角膜厚度把实测眼压直接换算为一个看似精确的“真实眼压”。</w:t>
      </w:r>
    </w:p>
    <w:p>
      <w:r>
        <w:t>依据：F第18、20页；A第7页；B第5页表1。</w:t>
      </w:r>
    </w:p>
    <w:p>
      <w:pPr>
        <w:pStyle w:val="Heading1"/>
      </w:pPr>
      <w:r>
        <w:t>10. 视野从“VFI”扩展为可比较的功能记录</w:t>
      </w:r>
    </w:p>
    <w:p>
      <w:r>
        <w:t>记录设备/检查程序、可靠性或质量限制、MD、PSD及适用时VFI、缺损位置与是否累及中心区，并写明与哪次基线相比“稳定/进展/结果不确定”。VFI不是所有设备都提供，也不能单独作为分期或进展的依据。避免首次不可靠视野就下进展结论。</w:t>
      </w:r>
    </w:p>
    <w:p>
      <w:r>
        <w:t>依据：A第6、15—18页；G第8页。具体记录字段是为落实这些原则补充的模板项。</w:t>
      </w:r>
    </w:p>
    <w:p>
      <w:pPr>
        <w:pStyle w:val="Heading1"/>
      </w:pPr>
      <w:r>
        <w:t>11. OCT要有结构和趋势，不能只填一个结论</w:t>
      </w:r>
    </w:p>
    <w:p>
      <w:r>
        <w:t>补充视盘周围RNFL、黄斑神经节细胞相关指标、检查质量、分层错误及其他干扰，以及事件/趋势分析和基线日期。OCT、视盘检查与视野需共同判断；单次色标异常或仅OCT不能独立确诊全部青光眼，也不能代替功能随访。</w:t>
      </w:r>
    </w:p>
    <w:p>
      <w:r>
        <w:t>依据：F第18、26页；G第8页。</w:t>
      </w:r>
    </w:p>
    <w:p>
      <w:pPr>
        <w:pStyle w:val="Heading1"/>
      </w:pPr>
      <w:r>
        <w:t>12. 诊断增加类型、阶段和证据，不只列检查名</w:t>
      </w:r>
    </w:p>
    <w:p>
      <w:r>
        <w:t>区分开角型、原发性闭角相关状态及继发性青光眼；必要时注明高眼压症/可疑青光眼，而不是所有窄房角都默认等于已存在视神经损伤的PACG。PACS/PAC/PACG与我国传统临床分期、机制分型的侧重点不同，记录采用的分类及依据，不混成一个定义。</w:t>
      </w:r>
    </w:p>
    <w:p>
      <w:r>
        <w:t>依据：G第3—6页；E第1—2页；F第20页。</w:t>
      </w:r>
    </w:p>
    <w:p>
      <w:pPr>
        <w:pStyle w:val="Heading1"/>
      </w:pPr>
      <w:r>
        <w:t>13. 治疗从“降眼压对症”改为可追踪方案</w:t>
      </w:r>
    </w:p>
    <w:p>
      <w:r>
        <w:t>至少记录用药名称、浓度、眼别、用量、频次、疗程/复评点；既有方案继续、调整或停用的理由；依从性、滴眼操作、不耐受及眼表状态。开角型可评估药物、适应证下的SLT及手术；闭角相关者要针对瞳孔阻滞/其他机制评估LPI、晶状体处理或其他干预。SLT与LPI不是同一操作，也不能互换。</w:t>
      </w:r>
    </w:p>
    <w:p>
      <w:r>
        <w:t>依据：A第8—14页；G第4—6、8页；E第2页；B第4—5页。</w:t>
      </w:r>
    </w:p>
    <w:p>
      <w:pPr>
        <w:pStyle w:val="Heading1"/>
      </w:pPr>
      <w:r>
        <w:t>14. 在使用特定药物前增加安全核对</w:t>
      </w:r>
    </w:p>
    <w:p>
      <w:r>
        <w:t>哮喘/慢性呼吸疾病、心动过缓/传导阻滞、心衰、肾功能及电解质问题、妊娠/哺乳、过敏、不耐受和全身合并用药应按拟用药核对，而不是统一写“否认心肺疾病”后结束。β受体阻滞剂、全身碳酸酐酶抑制剂和高渗剂等的适用性分别评估。此表为风险提醒，不替代药品说明书或机构处置规范。</w:t>
      </w:r>
    </w:p>
    <w:p>
      <w:r>
        <w:t>依据：A第8页1.4.2；C第2页；G第2、8页。</w:t>
      </w:r>
    </w:p>
    <w:p>
      <w:pPr>
        <w:pStyle w:val="Heading1"/>
      </w:pPr>
      <w:r>
        <w:t>15. 急性闭角附页增加时间轴、机制及对侧眼</w:t>
      </w:r>
    </w:p>
    <w:p>
      <w:r>
        <w:t>增加症状起始与到诊时间、每次眼压/视力、用药和操作时点、疗效与不良反应、是否需激光/手术及完成安排、转诊/留观去向。初步降压不等于房角关闭机制已经解决；应记录对侧眼房角与预防性干预评估。不能机械对所有闭角使用同一缩瞳或手术方案。</w:t>
      </w:r>
    </w:p>
    <w:p>
      <w:r>
        <w:t>依据：C第1—3页；E第2页；G第5—6页。</w:t>
      </w:r>
    </w:p>
    <w:p>
      <w:pPr>
        <w:pStyle w:val="Heading1"/>
      </w:pPr>
      <w:r>
        <w:t>16. 激素共识限定用途，不扩大成常规长期方案</w:t>
      </w:r>
    </w:p>
    <w:p>
      <w:r>
        <w:t>上传的激素操作共识实际发表于2017年，讨论急性原发性闭角发作和围手术期的辅助抗炎，包含适应证、禁忌和操作场景。建议病历增加“前房炎症、角膜感染等风险、局部抗炎是否适用、眼压和不良反应监测”项；不把具体注射制剂配制、剂量或某一手术时点方案直接复制到所有普通门诊病例中，也不能据此认为所有青光眼都应使用激素。</w:t>
      </w:r>
    </w:p>
    <w:p>
      <w:r>
        <w:t>依据：D第1—2页；C第2页。</w:t>
      </w:r>
    </w:p>
    <w:p>
      <w:pPr>
        <w:pStyle w:val="Heading1"/>
      </w:pPr>
      <w:r>
        <w:t>17. 慢病随访增加执行能力、眼表和生活质量</w:t>
      </w:r>
    </w:p>
    <w:p>
      <w:r>
        <w:t>复诊时核对漏药、滴药困难、药物和防腐剂相关眼表不适、视功能生活影响，必要时评估低视力/心理康复和家庭支持。新诊断、进展、高风险和长期稳定病例的检查密度不同。</w:t>
      </w:r>
    </w:p>
    <w:p>
      <w:r>
        <w:t>依据：B第2、4—6页；A第8、13、16、23页。</w:t>
      </w:r>
    </w:p>
    <w:p>
      <w:pPr>
        <w:pStyle w:val="Heading1"/>
      </w:pPr>
      <w:r>
        <w:t>不同文件的数值不能直接合并</w:t>
      </w:r>
    </w:p>
    <w:p>
      <w:r>
        <w:t>NICE的24 mmHg出现在开角相关转诊和部分高眼压症治疗情境，不是所有青光眼确诊阈值或急性闭角急救分界。2026共识中的眼压&gt;21 mmHg、垂直C/D&gt;0.5等是基层筛查转诊线索，也不能当成青光眼确诊标准。【A第6、8、32页；B第4页】</w:t>
      </w:r>
    </w:p>
    <w:p>
      <w:r>
        <w:t>NICE表3：已确诊COAG且眼压达标、无进展时，低风险可参考12—18个月、高风险6—12个月复评；这些是该指南情境下的区间，不应用于急性闭角、刚调整治疗或存在紧急风险者。【A第18页】</w:t>
      </w:r>
    </w:p>
    <w:p>
      <w:r>
        <w:t>2026共识表1建议社区每月关注用药/依从性、视力/眼压及不良反应；二级机构每3个月进一步评估，部分结构/功能检查另有频次。它是国内分级慢病管理安排，不等于所有人每月做全套OCT、视野，也不与NICE专科复评区间简单取最短或平均。【B第4—5页，表1已核图】</w:t>
      </w:r>
    </w:p>
    <w:p>
      <w:r>
        <w:t>2019闭角共识强调机制，2024浙江共识聚焦急性发作，NICE的开角SLT建议不能替代闭角机制处理。不同适用人群和治疗可及性应分别记录，不能按年份简单选一个“万能首选术式”。</w:t>
      </w:r>
    </w:p>
    <w:p>
      <w:pPr>
        <w:pStyle w:val="Heading1"/>
      </w:pPr>
      <w:r>
        <w:t>建议保留与具体替换</w:t>
      </w:r>
    </w:p>
    <w:p>
      <w:r>
        <w:t>保留原稿的七个基本栏目，以及“不自行停药”“损伤通常不可逆”“急性警示症状及时就医”的宣教核心。修改三处固定文字：</w:t>
      </w:r>
    </w:p>
    <w:p>
      <w:r>
        <w:t>①“否认……”→“[有/无/不详/未询问，按实际填写]”；</w:t>
      </w:r>
    </w:p>
    <w:p>
      <w:r>
        <w:t>②“双眼……C/D=0.6”→“左右眼分别记录实际体征及视神经证据”；</w:t>
      </w:r>
    </w:p>
    <w:p>
      <w:r>
        <w:t>③“3天复查”→“急症即刻处理；常规病例填写具体复诊日期、检查项目及间隔依据”。</w:t>
      </w:r>
    </w:p>
    <w:p>
      <w:r>
        <w:t>这些调整不意味着每次都需做齐全部检查，而是让该做的检查、未做的原因和后续计划有记录。</w:t>
      </w:r>
    </w:p>
    <w:p>
      <w:pPr>
        <w:pStyle w:val="Heading1"/>
      </w:pPr>
      <w:r>
        <w:t>来源索引与审核状态</w:t>
      </w:r>
    </w:p>
    <w:p>
      <w:r>
        <w:t>[A] NICE NG81：Glaucoma: diagnosis and management，2022年1月26日更新；上传版35页。重点：成人慢性开角型青光眼、可疑开角型和高眼压症，不是急性闭角处理规范。</w:t>
      </w:r>
    </w:p>
    <w:p>
      <w:r>
        <w:t>[B] 中国青光眼慢病管理专家共识（2026年），中华眼科杂志，62卷3期；上传版10页。重点：分级转诊、长期管理、依从性、眼表和康复。</w:t>
      </w:r>
    </w:p>
    <w:p>
      <w:r>
        <w:t>[C] 原发性闭角型青光眼急性发作诊断与治疗浙江省青光眼防治专家共识（2024年）；上传版6页。重点：急性发作、迅速降压和开放房角、对侧眼及术后管理。</w:t>
      </w:r>
    </w:p>
    <w:p>
      <w:r>
        <w:t>[D] 急性原发性闭角型青光眼糖皮质激素治疗的使用操作专家共识，眼科，2017年26卷2期：76—77；上传版2页。只提取本篇内容，不将第2页下半开始的另一篇Schlemm管造影共识混入。</w:t>
      </w:r>
    </w:p>
    <w:p>
      <w:r>
        <w:t>[E] 中国原发性闭角型青光眼诊治方案专家共识（2019年）；上传版4页。重点：闭角机制、瞳孔阻滞及非瞳孔阻滞、相关治疗路径。</w:t>
      </w:r>
    </w:p>
    <w:p>
      <w:r>
        <w:t>[F] European Glaucoma Society Terminology and Guidelines for Glaucoma，第5版；上传文件名标注2021，PDF共167页。重点核对初诊检查、房角、CCT、视盘和目标眼压等相关章节。</w:t>
      </w:r>
    </w:p>
    <w:p>
      <w:r>
        <w:t>[G] 中国青光眼指南（2020年）；上传版14页。重点：病史、初诊及复查、分型、治疗和目标眼压/结构功能进展。</w:t>
      </w:r>
    </w:p>
    <w:p>
      <w:r>
        <w:t>本报告基于此次上传版本，不宣称覆盖其后所有更新。原始PDF和原始Word未随公开交付文件上传。具体处方及急诊操作须依据患者情况、机构规范和药品说明书，最终由接诊医师审核。</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青光眼模板审阅资料｜第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宋体" w:hAnsi="宋体"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青光眼指南整合与原门诊模板审阅意见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