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青光眼门诊病历：常规初诊与慢性复诊修订版</w:t>
      </w:r>
    </w:p>
    <w:p>
      <w:r>
        <w:t>可编辑模板｜所有病史和体征据实填写｜不是固定处方</w:t>
      </w:r>
    </w:p>
    <w:p>
      <w:r>
        <w:t>姓名：________    性别：____    年龄：____    门诊号：____________</w:t>
      </w:r>
    </w:p>
    <w:p>
      <w:r>
        <w:t>就诊日期及时间：____________    接诊医师：____________</w:t>
      </w:r>
    </w:p>
    <w:p>
      <w:pPr>
        <w:pStyle w:val="Heading1"/>
      </w:pPr>
      <w:r>
        <w:t>本次就诊情境</w:t>
      </w:r>
    </w:p>
    <w:p>
      <w:r>
        <w:t>[初次发现异常/已确诊复诊/治疗后复评/其他____]。如正在出现明显眼痛、眼红、虹视、视力下降或恶心呕吐，先进行急诊评估，不按普通复诊流程等待。</w:t>
      </w:r>
    </w:p>
    <w:p>
      <w:pPr>
        <w:pStyle w:val="Heading1"/>
      </w:pPr>
      <w:r>
        <w:t>主诉</w:t>
      </w:r>
    </w:p>
    <w:p>
      <w:r>
        <w:t>[眼别____][检查发现眼压或视神经异常____/青光眼复诊____/其他实际症状及持续时间____]。</w:t>
      </w:r>
    </w:p>
    <w:p>
      <w:pPr>
        <w:pStyle w:val="Heading1"/>
      </w:pPr>
      <w:r>
        <w:t>现病史</w:t>
      </w:r>
    </w:p>
    <w:p>
      <w:r>
        <w:t>本次症状、视力/视野变化及起止时间：[____]。既往确诊类型、眼别、分期及确诊时间：[____]；治疗前/既往最高眼压及资料来源：[____]。既往视野、OCT及眼底基线和变化：[____]。</w:t>
      </w:r>
    </w:p>
    <w:p>
      <w:r>
        <w:t>现用降眼压药：药名/浓度[____]，眼别[____]，用量与频次[____]，最近一次用药时间[____]；漏药、操作困难及不良反应[____]。既往LPI、SLT、晶状体或其他手术的眼别、日期、效果及并发症：[____]。不得预设“眼压平稳”。</w:t>
      </w:r>
    </w:p>
    <w:p>
      <w:pPr>
        <w:pStyle w:val="Heading1"/>
      </w:pPr>
      <w:r>
        <w:t>既往史</w:t>
      </w:r>
    </w:p>
    <w:p>
      <w:r>
        <w:t>青光眼家族史、外伤、屈光/其他眼科手术及其他眼病：[____]。激素等全部眼部/全身用药：[____]。心肺疾病、心率/传导问题、肾病、糖尿病、高血压等与拟用药有关情况：[____]。妊娠/备孕/哺乳（适用时）：[____]。每项按有、无、不详或未询问记录。</w:t>
      </w:r>
    </w:p>
    <w:p>
      <w:pPr>
        <w:pStyle w:val="Heading1"/>
      </w:pPr>
      <w:r>
        <w:t>过敏史</w:t>
      </w:r>
    </w:p>
    <w:p>
      <w:r>
        <w:t>药物过敏及具体反应：[____]；既往滴眼液不耐受或眼表问题：[____]。未核实者不默认写“否认”。</w:t>
      </w:r>
    </w:p>
    <w:p>
      <w:pPr>
        <w:pStyle w:val="Heading1"/>
      </w:pPr>
      <w:r>
        <w:t>眼科查体</w:t>
      </w:r>
    </w:p>
    <w:p>
      <w:r>
        <w:t>右眼：裸眼/原镜视力[____]，最佳矫正[____]；眼压[____] mmHg。</w:t>
      </w:r>
    </w:p>
    <w:p>
      <w:r>
        <w:t>左眼：裸眼/原镜视力[____]，最佳矫正[____]；眼压[____] mmHg。</w:t>
      </w:r>
    </w:p>
    <w:p>
      <w:r>
        <w:t>眼压方法、测量时间及必要的重复测量：[____]。</w:t>
      </w:r>
    </w:p>
    <w:p>
      <w:r>
        <w:t>左右眼分别记录结膜/眼表、角膜、前房深度、瞳孔和对光反射、虹膜及晶状体：[____]。不预填角膜水肿、瞳孔直径或晶状体混浊。</w:t>
      </w:r>
    </w:p>
    <w:p>
      <w:r>
        <w:t>房角镜：是否完成及静态/动态方法[____]；右眼/左眼各象限开放、接触和PAS范围、可否压开[____]；未查或受限原因及补查计划[____]。UBM/前节OCT（按指征）及机制信息[____]。</w:t>
      </w:r>
    </w:p>
    <w:p>
      <w:r>
        <w:t>视盘/RNFL：右眼视盘大小、垂直C/D、盘沿、切迹、出血和RNFL缺损[____]；左眼[____]。观察条件、散瞳适用性和眼底可视范围[____]；不可窥入者不填写未观察到的结果。</w:t>
      </w:r>
    </w:p>
    <w:p>
      <w:pPr>
        <w:pStyle w:val="Heading1"/>
      </w:pPr>
      <w:r>
        <w:t>辅助检查及基线比较</w:t>
      </w:r>
    </w:p>
    <w:p>
      <w:r>
        <w:t>1. 标准自动视野：日期、设备/程序[____]；可靠性/限制[____]；左右眼MD、PSD及适用时VFI、缺损位置和中心区受累[____]；与[日期____]相比[稳定/进展/不确定]。</w:t>
      </w:r>
    </w:p>
    <w:p>
      <w:r>
        <w:t>2. OCT：日期、RNFL及黄斑神经节细胞相关指标[____]；质量/分层错误或干扰[____]；与基线事件或趋势比较[____]。</w:t>
      </w:r>
    </w:p>
    <w:p>
      <w:r>
        <w:t>3. 眼底照相/视神经基线及比较：[____]。</w:t>
      </w:r>
    </w:p>
    <w:p>
      <w:r>
        <w:t>4. 初诊CCT：右[____] μm、左[____] μm；方法和屈光手术史[____]。不使用简单CCT公式替代实测眼压。</w:t>
      </w:r>
    </w:p>
    <w:p>
      <w:r>
        <w:t>5. 其他检查按指征安排：[____]；未完成关键检查的原因、临时判断及复查计划[____]。不是要求每次复诊全部重做。</w:t>
      </w:r>
    </w:p>
    <w:p>
      <w:pPr>
        <w:pStyle w:val="Heading1"/>
      </w:pPr>
      <w:r>
        <w:t>临床评估及诊断</w:t>
      </w:r>
    </w:p>
    <w:p>
      <w:r>
        <w:t>右眼诊断/分类体系及分期：[____]；左眼：[____]。开角、闭角相关状态、继发性原因或高眼压症/可疑青光眼的证据：[____]。</w:t>
      </w:r>
    </w:p>
    <w:p>
      <w:r>
        <w:t>当前急症风险：[____]。结构/功能进展：[无证据/有证据/不能判断]，依据[____]。</w:t>
      </w:r>
    </w:p>
    <w:p>
      <w:r>
        <w:t>目标眼压：右眼[____] mmHg，左眼[____] mmHg；结合基线、损伤、进展、预期寿命和负担的制定依据/日期[____]；本次是否达标及是否需调整[____]。不能以单次眼压或C/D独立完成确诊和分期。</w:t>
      </w:r>
    </w:p>
    <w:p>
      <w:pPr>
        <w:pStyle w:val="Heading1"/>
      </w:pPr>
      <w:r>
        <w:t>治疗及处理</w:t>
      </w:r>
    </w:p>
    <w:p>
      <w:r>
        <w:t>本次方案：[继续原方案/调整药物/激光或手术评估/转诊/其他____]；具体依据[____]。</w:t>
      </w:r>
    </w:p>
    <w:p>
      <w:r>
        <w:t>处方：药名、浓度、眼别、每次用量、频次、疗程/复评点逐项填写：[____]。针对拟用药核对禁忌、相互作用及不耐受：[____]。</w:t>
      </w:r>
    </w:p>
    <w:p>
      <w:r>
        <w:t>开角相关者按适应证评估药物、SLT或手术；闭角相关者记录瞳孔阻滞及其他机制、LPI/晶状体处理或其他方案评估：[____]。LPI与SLT不混用。</w:t>
      </w:r>
    </w:p>
    <w:p>
      <w:r>
        <w:t>滴眼方法演示/核对、依从性、眼表问题及患者选择：[____]。不将通用模板作为固定处方。</w:t>
      </w:r>
    </w:p>
    <w:p>
      <w:pPr>
        <w:pStyle w:val="Heading1"/>
      </w:pPr>
      <w:r>
        <w:t>注意事项及复诊</w:t>
      </w:r>
    </w:p>
    <w:p>
      <w:r>
        <w:t>1. 视神经损伤通常不可逆，治疗旨在保护现有视功能；眼不痛、视力尚可或单次眼压正常，均不是自行停药的依据。</w:t>
      </w:r>
    </w:p>
    <w:p>
      <w:r>
        <w:t>2. 定期比较眼压、视神经结构和视野；发现进展时即使眼压达标也需重新评估。</w:t>
      </w:r>
    </w:p>
    <w:p>
      <w:r>
        <w:t>3. 突然明显眼痛、眼红、虹视、视力下降，尤其伴头痛、恶心呕吐，应立即就医，不等待预约日期。</w:t>
      </w:r>
    </w:p>
    <w:p>
      <w:r>
        <w:t>4. 下次复诊日期：[____]；间隔依据：[病情/目标眼压/进展/治疗变化/术后安排____]；复查项目：[____]。</w:t>
      </w:r>
    </w:p>
    <w:p>
      <w:r>
        <w:t>5. 需要时记录社区/专科协作、用药执行困难、眼表不适、视觉或心理康复需求：[____]。</w:t>
      </w:r>
    </w:p>
    <w:p>
      <w:r>
        <w:t>实际已告知及患者理解情况：[____]。</w:t>
      </w:r>
    </w:p>
    <w:p>
      <w:pPr>
        <w:pStyle w:val="Heading1"/>
      </w:pPr>
      <w:r>
        <w:t>复诊简版正文（已有完整基线时可使用）</w:t>
      </w:r>
    </w:p>
    <w:p>
      <w:r>
        <w:t>主诉：青光眼复诊。现病史：既往诊断[____]，当前方案[____]，依从性及不良反应[____]，本次症状变化[____]。查体：VOD[____]、VOS[____]；眼压右[____]、左[____] mmHg（方法/时间[____]）；目标眼压右[____]、左[____]；眼前节、房角/视神经本次所见[____]。视野/OCT与基线比较[____]。评估：眼压[达标/未达标]，结构功能[稳定/进展/不确定]。处理及理由[____]，具体处方[____]。复诊日期、项目及提前就诊条件[____]。既往史、过敏及全身用药变更[____]。本简版不能替代尚缺失的初诊检查。</w:t>
      </w:r>
    </w:p>
    <w:p>
      <w:pPr>
        <w:pStyle w:val="Heading1"/>
      </w:pPr>
      <w:r>
        <w:t>使用说明与依据（不复制进患者病历）</w:t>
      </w:r>
    </w:p>
    <w:p>
      <w:r>
        <w:t>本模板沿用用户原稿的基本栏目，取消默认阴性病史、固定异常查体及统一3天复查。眼压、瞳孔、视盘及所有病史必须据实填写；临床审核待完成。急性发作使用另附急诊记录页。</w:t>
      </w:r>
    </w:p>
    <w:p>
      <w:r>
        <w:t>主要依据：A第6—8、13、15—18页；B第2、4—5页；E第2页；F第18—20、74—75、129—133页；G第2—8页。A—G来源名称详见《指南整合与原模板审阅意见》。</w:t>
      </w:r>
    </w:p>
    <w:p>
      <w:r>
        <w:t>医师签名：____________    记录日期及时间：________________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青光眼模板审阅资料｜第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青光眼门诊病历：常规初诊与慢性复诊修订版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