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中心性浆液性脉络膜视网膜病变：2025指南重点</w:t>
      </w:r>
    </w:p>
    <w:p>
      <w:r>
        <w:t>来源：用户上传的APVRS/AAPPO/ARI共识｜中文归纳与病历落地｜带原文页码</w:t>
      </w:r>
    </w:p>
    <w:p>
      <w:pPr>
        <w:pStyle w:val="Heading1"/>
      </w:pPr>
      <w:r>
        <w:t>来源与提取范围</w:t>
      </w:r>
    </w:p>
    <w:p>
      <w:r>
        <w:t>根据用户上传的15页原文提取，页码指PDF第1—15页，与文中页码对应。正文、表2及图1、图2已交叉核对。以下为中文归纳，不是全文翻译，也不是实际患者诊疗记录。</w:t>
      </w:r>
    </w:p>
    <w:p>
      <w:r>
        <w:t>文献：Radke NV, van Dijk EHC, Spaide RF, et al. International consensuses and guidelines on central serous chorioretinopathy (CSC) by the APVRS, AAPPO and ARI. Asia-Pacific Journal of Ophthalmology. 2025;14:100252. DOI: 10.1016/j.apjo.2025.100252.</w:t>
      </w:r>
    </w:p>
    <w:p>
      <w:r>
        <w:t>原文性质：26名、来自13个国家/地区的专家，经Delphi讨论对25条声明投票形成共识；方法部分以至少75%同意作为达成共识阈值。专家共识不等同于每条均具有相同的试验证据强度。【PDF第2—3、12页】</w:t>
      </w:r>
    </w:p>
    <w:p>
      <w:pPr>
        <w:pStyle w:val="Heading1"/>
      </w:pPr>
      <w:r>
        <w:t>1. 诊断核心：先确认病变，再判断分型</w:t>
      </w:r>
    </w:p>
    <w:p>
      <w:r>
        <w:t>CSC是以黄斑区神经上皮和/或视网膜色素上皮（RPE）浆液性脱离为特征、与脉络膜血管高通透性及静脉淤滞相关的疾病。病历应记录视网膜下液（SRF）、RPE改变及脉络膜特征，并排查其他可产生类似表现的疾病。【声明1.1、1.2；PDF第3—4、12页】</w:t>
      </w:r>
    </w:p>
    <w:p>
      <w:r>
        <w:t>文中讨论多种分型框架，尚未完全统一。应记录症状起始时间、首次影像发现SRF时间、既往消退/复发及慢性影像体征，而不是只写“病程超过3个月，所以是慢性”。脉络膜厚度也不能脱离年龄、屈光等因素，作为唯一诊断指标。【PDF第3—4页；声明5.1】</w:t>
      </w:r>
    </w:p>
    <w:p>
      <w:pPr>
        <w:pStyle w:val="Heading1"/>
      </w:pPr>
      <w:r>
        <w:t>2. 病史：激素、睡眠和既往发作是重点</w:t>
      </w:r>
    </w:p>
    <w:p>
      <w:r>
        <w:t>详细核实糖皮质激素暴露及原用药适应证，记录压力、轮班、睡眠和阻塞性睡眠呼吸暂停相关情况；这些是风险关联或可能诱因，不能据此断定个体患者的唯一病因。【声明2.2、2.3、2.5；PDF第5、12页】</w:t>
      </w:r>
    </w:p>
    <w:p>
      <w:r>
        <w:t>病历落实：记录药物名称、剂量、途径和起止时间。原文图注提示讨论停用激素；临床安全补充是由原处方团队评估减停，不能在模板中要求长期系统用药者自行骤停。应询问妊娠状态，妊娠相关CSC需相应监测。【图1、图2图注；声明4.6】</w:t>
      </w:r>
    </w:p>
    <w:p>
      <w:pPr>
        <w:pStyle w:val="Heading1"/>
      </w:pPr>
      <w:r>
        <w:t>3. 初发、无慢性征象的病例，不必默认做齐所有造影</w:t>
      </w:r>
    </w:p>
    <w:p>
      <w:r>
        <w:t>多模态影像有助于诊断、分型与随访；但首次急性发作、无慢性征象或并发症时，SD-OCT联合或不联合眼底照相/FAF，可能足以完成诊断及监测。不能把“多模态影像理想”误写成所有初诊患者必须同时完成FA、ICGA和OCTA。【声明3.1、3.3；PDF第6、12页】</w:t>
      </w:r>
    </w:p>
    <w:p>
      <w:pPr>
        <w:pStyle w:val="Heading1"/>
      </w:pPr>
      <w:r>
        <w:t>4. 双眼OCT与脉络膜评估</w:t>
      </w:r>
    </w:p>
    <w:p>
      <w:r>
        <w:t>检查不仅记录患眼，还应关注对侧眼。SD-OCT记录SRF、RPE脱离、外层视网膜损伤等；EDI-OCT或SS-OCT可评估脉络膜厚度和扩张的大脉络膜血管，并在治疗前后比较。【声明3.2；PDF第5—6、12页】</w:t>
      </w:r>
    </w:p>
    <w:p>
      <w:pPr>
        <w:pStyle w:val="Heading1"/>
      </w:pPr>
      <w:r>
        <w:t>5. FA、ICGA和OCTA各有用途</w:t>
      </w:r>
    </w:p>
    <w:p>
      <w:r>
        <w:t>FA：定位活动性漏点、评估渗漏，必要时用于局灶激光规划；ICGA不可用时，可辅助指导PDT。【声明3.4】</w:t>
      </w:r>
    </w:p>
    <w:p>
      <w:r>
        <w:t>ICGA：评估脉络膜高通透性，鉴别息肉样脉络膜血管病变（PCV）等；对疑似慢性CSC，原文强烈建议治疗前评估ICGA。【声明3.5】</w:t>
      </w:r>
    </w:p>
    <w:p>
      <w:r>
        <w:t>OCTA：关注并发黄斑新生血管（MNV），尤其在扁平不规则RPE脱离等可疑情形；必须结合结构OCT、其他影像及图像质量解释。【PDF第6页】</w:t>
      </w:r>
    </w:p>
    <w:p>
      <w:pPr>
        <w:pStyle w:val="Heading1"/>
      </w:pPr>
      <w:r>
        <w:t>6. 急性初发：多数可观察，但存在早期干预情形</w:t>
      </w:r>
    </w:p>
    <w:p>
      <w:r>
        <w:t>多数急性CSC可先观察；症状显著、职业视功能要求高、复发、双眼活动或患者治疗意愿等情形，可讨论提前干预，而不是一律等待到固定月数。【声明4.1；PDF第6、8页图1】</w:t>
      </w:r>
    </w:p>
    <w:p>
      <w:r>
        <w:t>原文不同部分的时间表达需保留语境：正文讨论SRF持续3—6个月或频繁复发时的干预；图1的观察分支可延续至首次发病后约4（—6）个月。这不是所有患者的强制等待期，也不是复诊间隔。慢性影像特征可早于患者意识到症状出现。【PDF第3、6、8页】</w:t>
      </w:r>
    </w:p>
    <w:p>
      <w:pPr>
        <w:pStyle w:val="Heading1"/>
      </w:pPr>
      <w:r>
        <w:t>7. 慢性CSC：半剂量维替泊芬PDT为优先考虑方案</w:t>
      </w:r>
    </w:p>
    <w:p>
      <w:r>
        <w:t>原文认为半剂量维替泊芬光动力治疗（PDT）是慢性CSC证据最充分、有效的方案，随机试验支持其优于阈下微脉冲激光及依普利酮。治疗区域需结合影像由专科规划。【声明4.2；PDF第6—7、10、12页】</w:t>
      </w:r>
    </w:p>
    <w:p>
      <w:r>
        <w:t>半剂量PDT与半能量/半光通量PDT是不同参数调整，不应在处置记录中混写。本文门诊模板不预置药物和激光参数，须由实施机构按适应证和操作规范填写。</w:t>
      </w:r>
    </w:p>
    <w:p>
      <w:pPr>
        <w:pStyle w:val="Heading1"/>
      </w:pPr>
      <w:r>
        <w:t>8. PDT不可用或不适合时，备选治疗有边界</w:t>
      </w:r>
    </w:p>
    <w:p>
      <w:r>
        <w:t>阈下微脉冲激光可在PDT禁忌或不可获得时考虑，但不能写成与PDT疗效等同。常规局灶激光的适用条件与漏点位置有关；原文流程图限于中心黄斑以外的局灶漏点，不能把中心凹漏点一律安排热激光。【声明4.3、4.4；PDF第7—10页】</w:t>
      </w:r>
    </w:p>
    <w:p>
      <w:pPr>
        <w:pStyle w:val="Heading1"/>
      </w:pPr>
      <w:r>
        <w:t>9. 抗VEGF治疗的关键分界：是否合并MNV</w:t>
      </w:r>
    </w:p>
    <w:p>
      <w:r>
        <w:t>无MNV的CSC不应常规安排抗VEGF注射，即使PDT暂不可用，也不能直接以抗VEGF等同替代。合并MNV时，原文推荐玻璃体腔抗VEGF作为一线治疗；是否联合PDT需由专科结合具体病变决定。【声明4.5；PDF第7、12页；图1、图2及其图注】</w:t>
      </w:r>
    </w:p>
    <w:p>
      <w:pPr>
        <w:pStyle w:val="Heading1"/>
      </w:pPr>
      <w:r>
        <w:t>10. 不把口服药写成默认“中浆处方”</w:t>
      </w:r>
    </w:p>
    <w:p>
      <w:r>
        <w:t>大型随机试验未证明依普利酮用于CSC的明确获益，不能作为慢性CSC一线治疗。螺内酯、利福平、甲氨蝶呤、阿司匹林、乙酰唑胺等在文中被讨论，不代表均获推荐为常规治疗。原文总体认为，在缺乏大型随机试验确证获益时，口服药在CSC中的作用仍不确定。【声明2.6、4.7；PDF第5、7、9、12页】</w:t>
      </w:r>
    </w:p>
    <w:p>
      <w:r>
        <w:t>这些药物若因其他全身疾病正在使用，是否调整应由相应处方医师决定，不能仅因其不是CSC标准治疗就擅自停药。幽门螺杆菌与CSC的作用亦未明确，不能据此默认进行根除治疗。【声明2.7】</w:t>
      </w:r>
    </w:p>
    <w:p>
      <w:pPr>
        <w:pStyle w:val="Heading1"/>
      </w:pPr>
      <w:r>
        <w:t>11. 随访应比较SRF，而不只记录视力</w:t>
      </w:r>
    </w:p>
    <w:p>
      <w:r>
        <w:t>管理的重要目标是OCT上的SRF完全消退，同时观察视功能、RPE和感光细胞结构。SRF持续或增加时，应重评诊断，必要时复查OCTA、FA、ICGA及MNV等并发症。【PDF第6、8—11页】</w:t>
      </w:r>
    </w:p>
    <w:p>
      <w:r>
        <w:t>图注中的“1—3个月复查OCT”用于仅少量残余SRF、可继续保守观察的特定情形，不是所有急性初诊、所有PDT术后或所有慢性病例的统一间隔。其他情形需由医师按病情制定，并记录提前就诊触发条件。【PDF第9、11页图注】</w:t>
      </w:r>
    </w:p>
    <w:p>
      <w:pPr>
        <w:pStyle w:val="Heading1"/>
      </w:pPr>
      <w:r>
        <w:t>12. 病历应包含的最低信息集</w:t>
      </w:r>
    </w:p>
    <w:p>
      <w:r>
        <w:t>眼别；症状及影像时间线；首次/复发/持续状态；视力及最佳矫正视力；OCT上的SRF和外层结构；RPE改变/萎缩范围；双眼脉络膜评估；MNV证据或排查限制；既往激素暴露；治疗选择、依据和患者意愿；明确复诊计划及应提前就诊的变化。</w:t>
      </w:r>
    </w:p>
    <w:p>
      <w:pPr>
        <w:pStyle w:val="Heading1"/>
      </w:pPr>
      <w:r>
        <w:t>模板中的非指南原句内容</w:t>
      </w:r>
    </w:p>
    <w:p>
      <w:r>
        <w:t>病历栏目、占位符、过敏史记录、示例性眼底措辞、处方记录字段、避免突然停用系统激素，以及病情变化时及时就医的通用提示，是为了安全和可记录性补充的模板设计；不能当作原文逐字推荐或已经发生的患者事实。未加入原文未明确的固定处方、剂量或统一复诊天数。原始PDF及图表不随文件公开上传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CSC 2025指南资料｜第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中心性浆液性脉络膜视网膜病变：2025指南重点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