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0"/>
        </w:rPr>
        <w:t>Table 14.1.1</w:t>
      </w:r>
    </w:p>
    <w:p>
      <w:pPr>
        <w:jc w:val="left"/>
      </w:pPr>
      <w:r>
        <w:rPr>
          <w:sz w:val="20"/>
        </w:rPr>
        <w:t>Summary of Demographics and Baseline Characteristics</w:t>
      </w:r>
    </w:p>
    <w:p>
      <w:pPr>
        <w:jc w:val="left"/>
      </w:pPr>
      <w:r>
        <w:rPr>
          <w:i/>
          <w:sz w:val="18"/>
        </w:rPr>
        <w:t>Safety Population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Placebo</w:t>
              <w:br/>
              <w:t>(N=86)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Xanomeline</w:t>
              <w:br/>
              <w:t>Low Dose</w:t>
              <w:br/>
              <w:t>(N=96)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Xanomeline</w:t>
              <w:br/>
              <w:t>High Dose</w:t>
              <w:br/>
              <w:t>(N=72)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Age (years)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Mean (SD)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75.2 (8.59)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76.0 (8.11)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73.8 (7.94)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Median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76.0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78.0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75.5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Min, Max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52, 89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51, 88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56, 88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Sex, n (%)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Female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53 (61.6)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55 (57.3)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35 (48.6)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Male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33 (38.4)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41 (42.7)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37 (51.4)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Race, n (%)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White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78 (90.7)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90 (93.8)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62 (86.1)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Black Or African American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8 (9.3)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6 (6.2)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9 (12.5)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American Indian Or Alaska Native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0 (0.0)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0 (0.0)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1 (1.4)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Age Group, n (%)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18-64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14 (16.3)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8 (8.3)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11 (15.3)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&gt;64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72 (83.7)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88 (91.7)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61 (84.7)</w:t>
            </w:r>
          </w:p>
        </w:tc>
      </w:tr>
    </w:tbl>
    <w:p>
      <w:r>
        <w:rPr>
          <w:i/>
          <w:sz w:val="16"/>
        </w:rPr>
        <w:t>Source: ADSL  |  Study CDISCPILOT01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