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14.1.2</w:t>
      </w:r>
    </w:p>
    <w:p>
      <w:pPr>
        <w:jc w:val="left"/>
      </w:pPr>
      <w:r>
        <w:rPr>
          <w:sz w:val="20"/>
        </w:rPr>
        <w:t>Summary of Subject Disposition</w:t>
      </w:r>
    </w:p>
    <w:p>
      <w:pPr>
        <w:jc w:val="left"/>
      </w:pPr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Placebo</w:t>
              <w:br/>
              <w:t>(N=86)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Low Dose</w:t>
              <w:br/>
              <w:t>(N=96)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High Dose</w:t>
              <w:br/>
              <w:t>(N=72)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Completed Study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58 (67.4)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25 (26.0)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27 (37.5)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Discontinued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28 (32.6)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71 (74.0)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45 (62.5)</w:t>
            </w:r>
          </w:p>
        </w:tc>
      </w:tr>
    </w:tbl>
    <w:p>
      <w:r>
        <w:rPr>
          <w:i/>
          <w:sz w:val="16"/>
        </w:rPr>
        <w:t>Source: ADSL  |  Study CDISCPILOT01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