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T14.2.1: Summary of Exposure to Study Treatment</w:t>
      </w:r>
    </w:p>
    <w:p>
      <w:r>
        <w:t>CDISCPILOT01 | Safety Population | Data as of 2014-07-02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Statistic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t>Duration (days)</w:t>
              <w:br/>
              <w:t>Mean</w:t>
            </w:r>
          </w:p>
        </w:tc>
        <w:tc>
          <w:tcPr>
            <w:tcW w:type="dxa" w:w="2160"/>
          </w:tcPr>
          <w:p>
            <w:r>
              <w:t>149.5</w:t>
            </w:r>
          </w:p>
        </w:tc>
        <w:tc>
          <w:tcPr>
            <w:tcW w:type="dxa" w:w="2160"/>
          </w:tcPr>
          <w:p>
            <w:r>
              <w:t>86.8</w:t>
            </w:r>
          </w:p>
        </w:tc>
        <w:tc>
          <w:tcPr>
            <w:tcW w:type="dxa" w:w="2160"/>
          </w:tcPr>
          <w:p>
            <w:r>
              <w:t>112.2</w:t>
            </w:r>
          </w:p>
        </w:tc>
      </w:tr>
      <w:tr>
        <w:tc>
          <w:tcPr>
            <w:tcW w:type="dxa" w:w="2160"/>
          </w:tcPr>
          <w:p>
            <w:r>
              <w:t>SD</w:t>
            </w:r>
          </w:p>
        </w:tc>
        <w:tc>
          <w:tcPr>
            <w:tcW w:type="dxa" w:w="2160"/>
          </w:tcPr>
          <w:p>
            <w:r>
              <w:t>60.35</w:t>
            </w:r>
          </w:p>
        </w:tc>
        <w:tc>
          <w:tcPr>
            <w:tcW w:type="dxa" w:w="2160"/>
          </w:tcPr>
          <w:p>
            <w:r>
              <w:t>70.47</w:t>
            </w:r>
          </w:p>
        </w:tc>
        <w:tc>
          <w:tcPr>
            <w:tcW w:type="dxa" w:w="2160"/>
          </w:tcPr>
          <w:p>
            <w:r>
              <w:t>65.52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182.0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r>
        <w:t>Subjects by Duration Category, n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Duration Category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t>&lt; 12 weeks</w:t>
            </w:r>
          </w:p>
        </w:tc>
        <w:tc>
          <w:tcPr>
            <w:tcW w:type="dxa" w:w="2160"/>
          </w:tcPr>
          <w:p>
            <w:r>
              <w:t>18 (20.9)</w:t>
            </w:r>
          </w:p>
        </w:tc>
        <w:tc>
          <w:tcPr>
            <w:tcW w:type="dxa" w:w="2160"/>
          </w:tcPr>
          <w:p>
            <w:r>
              <w:t>55 (57.3)</w:t>
            </w:r>
          </w:p>
        </w:tc>
        <w:tc>
          <w:tcPr>
            <w:tcW w:type="dxa" w:w="2160"/>
          </w:tcPr>
          <w:p>
            <w:r>
              <w:t>33 (45.8)</w:t>
            </w:r>
          </w:p>
        </w:tc>
      </w:tr>
      <w:tr>
        <w:tc>
          <w:tcPr>
            <w:tcW w:type="dxa" w:w="2160"/>
          </w:tcPr>
          <w:p>
            <w:r>
              <w:t>12 to &lt;24 weeks</w:t>
            </w:r>
          </w:p>
        </w:tc>
        <w:tc>
          <w:tcPr>
            <w:tcW w:type="dxa" w:w="2160"/>
          </w:tcPr>
          <w:p>
            <w:r>
              <w:t>8 (9.3)</w:t>
            </w:r>
          </w:p>
        </w:tc>
        <w:tc>
          <w:tcPr>
            <w:tcW w:type="dxa" w:w="2160"/>
          </w:tcPr>
          <w:p>
            <w:r>
              <w:t>15 (15.6)</w:t>
            </w:r>
          </w:p>
        </w:tc>
        <w:tc>
          <w:tcPr>
            <w:tcW w:type="dxa" w:w="2160"/>
          </w:tcPr>
          <w:p>
            <w:r>
              <w:t>11 (15.3)</w:t>
            </w:r>
          </w:p>
        </w:tc>
      </w:tr>
      <w:tr>
        <w:tc>
          <w:tcPr>
            <w:tcW w:type="dxa" w:w="2160"/>
          </w:tcPr>
          <w:p>
            <w:r>
              <w:t>&gt;= 24 weeks</w:t>
            </w:r>
          </w:p>
        </w:tc>
        <w:tc>
          <w:tcPr>
            <w:tcW w:type="dxa" w:w="2160"/>
          </w:tcPr>
          <w:p>
            <w:r>
              <w:t>59 (68.6)</w:t>
            </w:r>
          </w:p>
        </w:tc>
        <w:tc>
          <w:tcPr>
            <w:tcW w:type="dxa" w:w="2160"/>
          </w:tcPr>
          <w:p>
            <w:r>
              <w:t>25 (26.0)</w:t>
            </w:r>
          </w:p>
        </w:tc>
        <w:tc>
          <w:tcPr>
            <w:tcW w:type="dxa" w:w="2160"/>
          </w:tcPr>
          <w:p>
            <w:r>
              <w:t>28 (38.9)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