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14.3.1</w:t>
      </w:r>
    </w:p>
    <w:p>
      <w:pPr>
        <w:jc w:val="left"/>
      </w:pPr>
      <w:r>
        <w:rPr>
          <w:sz w:val="20"/>
        </w:rPr>
        <w:t>Overall Summary of Treatment-Emergent Adverse Events</w:t>
      </w:r>
    </w:p>
    <w:p>
      <w:pPr>
        <w:jc w:val="left"/>
      </w:pPr>
      <w:r>
        <w:rPr>
          <w:i/>
          <w:sz w:val="18"/>
        </w:rPr>
        <w:t>Safety Population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Placebo</w:t>
              <w:br/>
              <w:t>(N=86)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Xanomeline</w:t>
              <w:br/>
              <w:t>Low Dose</w:t>
              <w:br/>
              <w:t>(N=96)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Xanomeline</w:t>
              <w:br/>
              <w:t>High Dose</w:t>
              <w:br/>
              <w:t>(N=72)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Subjects with at least one TEAE, n (%)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65 (75.6)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84 (87.5)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68 (94.4)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Subjects with at least one SAE, n (%)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 (2.1)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 (1.4)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Subjects with drug-related TEAE, n (%)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43 (50.0)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77 (80.2)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64 (88.9)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Mild, n (%)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58 (67.4)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64 (66.7)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64 (88.9)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Moderate, n (%)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25 (29.1)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58 (60.4)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46 (63.9)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Severe, n (%)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5 (5.8)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16 (16.7)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8 (11.1)</w:t>
            </w:r>
          </w:p>
        </w:tc>
      </w:tr>
    </w:tbl>
    <w:p>
      <w:r>
        <w:rPr>
          <w:i/>
          <w:sz w:val="16"/>
        </w:rPr>
        <w:t>Source: ADAE (TRTEMFL='Y')  |  Drug-related = AEREL in (PROBABLE, POSSIBLE)  |  Study CDISCPILOT01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