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14.3.2</w:t>
      </w:r>
    </w:p>
    <w:p>
      <w:pPr>
        <w:jc w:val="left"/>
      </w:pPr>
      <w:r>
        <w:rPr>
          <w:sz w:val="20"/>
        </w:rPr>
        <w:t>Treatment-Emergent Adverse Events by System Organ Class and Preferred Term</w:t>
      </w:r>
    </w:p>
    <w:p>
      <w:pPr>
        <w:jc w:val="left"/>
      </w:pPr>
      <w:r>
        <w:rPr>
          <w:i/>
          <w:sz w:val="18"/>
        </w:rPr>
        <w:t>Safety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Placebo</w:t>
              <w:br/>
              <w:t>(N=86)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Low Dose</w:t>
              <w:br/>
              <w:t>(N=96)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High Dose</w:t>
              <w:br/>
              <w:t>(N=72)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GENERAL DISORDERS AND ADMINISTRATION SITE CONDITIONS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21 (24.4)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51 (53.1)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36 (50.0)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APPLICATION SITE PRURITUS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 (7.0)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23 (24.0)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21 (29.2)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APPLICATION SITE ERYTHEMA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 (3.5)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13 (13.5)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14 (19.4)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APPLICATION SITE IRRITATION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 (3.5)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9 (9.4)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9 (12.5)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SKIN AND SUBCUTANEOUS TISSUE DISORDERS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20 (23.3)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39 (40.6)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39 (54.2)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PRURITUS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8 (9.3)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21 (21.9)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25 (34.7)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ERYTHEMA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8 (9.3)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14 (14.6)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14 (19.4)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RASH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5 (5.8)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13 (13.5)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8 (11.1)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NERVOUS SYSTEM DISORDERS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8 (9.3)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22 (22.9)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23 (31.9)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DIZZINESS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 (2.3)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9 (9.4)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10 (13.9)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HEADACHE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 (3.5)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 (3.1)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5 (6.9)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SYNCOPE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5 (5.2)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 (2.8)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CARDIAC DISORDERS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12 (14.0)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14 (14.6)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14 (19.4)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SINUS BRADYCARDIA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 (2.3)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7 (7.3)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8 (11.1)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MYOCARDIAL INFARCTION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 (4.7)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 (2.1)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 (5.6)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ATRIAL FIBRILLATION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 (1.2)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 (2.1)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 (2.8)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GASTROINTESTINAL DISORDERS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17 (19.8)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15 (15.6)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19 (26.4)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NAUSEA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 (3.5)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 (3.1)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 (8.3)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DIARRHOEA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9 (10.5)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5 (5.2)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 (4.2)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VOMITING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 (3.5)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 (4.2)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 (8.3)</w:t>
            </w:r>
          </w:p>
        </w:tc>
      </w:tr>
    </w:tbl>
    <w:p>
      <w:r>
        <w:rPr>
          <w:i/>
          <w:sz w:val="16"/>
        </w:rPr>
        <w:t>Source: ADAE (TRTEMFL='Y')  |  Top 5 SOCs shown  |  Study CDISCPILOT01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